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590" w:firstLineChars="196"/>
        <w:rPr>
          <w:rFonts w:hint="default" w:ascii="楷体_GB2312" w:hAnsi="仿宋" w:eastAsia="楷体_GB2312"/>
          <w:b/>
          <w:sz w:val="30"/>
          <w:szCs w:val="30"/>
          <w:lang w:val="en-US" w:eastAsia="zh-CN"/>
        </w:rPr>
      </w:pP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附件2：</w:t>
      </w:r>
      <w:bookmarkStart w:id="0" w:name="_GoBack"/>
      <w:bookmarkEnd w:id="0"/>
    </w:p>
    <w:p>
      <w:pPr>
        <w:spacing w:line="560" w:lineRule="exact"/>
        <w:rPr>
          <w:rFonts w:hint="eastAsia" w:ascii="楷体_GB2312" w:hAnsi="仿宋" w:eastAsia="楷体_GB2312"/>
          <w:b/>
          <w:sz w:val="30"/>
          <w:szCs w:val="30"/>
          <w:lang w:val="en-US" w:eastAsia="zh-CN"/>
        </w:rPr>
      </w:pPr>
    </w:p>
    <w:p>
      <w:pPr>
        <w:spacing w:line="560" w:lineRule="exact"/>
        <w:ind w:firstLine="602" w:firstLineChars="200"/>
        <w:rPr>
          <w:rFonts w:hint="eastAsia" w:ascii="楷体_GB2312" w:hAnsi="仿宋" w:eastAsia="楷体_GB2312"/>
          <w:b/>
          <w:bCs/>
          <w:color w:val="000000"/>
          <w:sz w:val="30"/>
          <w:szCs w:val="30"/>
        </w:rPr>
      </w:pP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1、</w:t>
      </w:r>
      <w:r>
        <w:rPr>
          <w:rFonts w:hint="eastAsia" w:ascii="楷体_GB2312" w:hAnsi="仿宋" w:eastAsia="楷体_GB2312"/>
          <w:b/>
          <w:sz w:val="30"/>
          <w:szCs w:val="30"/>
        </w:rPr>
        <w:t>专项资金名称：雇佣安保人员及保洁人员专项经费</w:t>
      </w:r>
    </w:p>
    <w:p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设立依据：</w:t>
      </w:r>
      <w:r>
        <w:rPr>
          <w:rFonts w:hint="eastAsia" w:ascii="楷体_GB2312" w:eastAsia="楷体_GB2312"/>
          <w:kern w:val="0"/>
          <w:sz w:val="28"/>
          <w:szCs w:val="28"/>
        </w:rPr>
        <w:t>根据市政府《关于市群艺馆（非遗保护中心）办公用房工作相关事宜》（市政府办公室专题会议纪要【2019】32号）会议精神，将原住建局的南楼划拨我馆使用。搬迁至新馆办公，我馆需要雇佣3名安保人员和4名保洁人员，负责办公培训场地的安保及环境卫生工作。</w:t>
      </w:r>
    </w:p>
    <w:p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管理办法：</w:t>
      </w:r>
      <w:r>
        <w:rPr>
          <w:rFonts w:hint="eastAsia" w:ascii="楷体_GB2312" w:eastAsia="楷体_GB2312"/>
          <w:kern w:val="0"/>
          <w:sz w:val="28"/>
          <w:szCs w:val="28"/>
        </w:rPr>
        <w:t>市政府《关于市群艺馆（非遗保护中心）办公用房工作相关事宜》（市政府办公室专题会议纪要【2019】32号）会议精神。</w:t>
      </w:r>
    </w:p>
    <w:p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预算安排：</w:t>
      </w:r>
      <w:r>
        <w:rPr>
          <w:rFonts w:hint="eastAsia" w:ascii="楷体_GB2312" w:eastAsia="楷体_GB2312"/>
          <w:kern w:val="0"/>
          <w:sz w:val="28"/>
          <w:szCs w:val="28"/>
        </w:rPr>
        <w:t>我馆与安保人员和保洁人员签订雇佣合同。安保人员由市城区保安服务公司委派，规范雇佣手续。保障免费开放场馆保持优良环境和场馆安全开放。按月及时发放安保和保洁人员劳务费支出。雇佣安保人员和保洁人员每人每月工资1880元，2022年需要该项经费14.28万元。</w:t>
      </w:r>
    </w:p>
    <w:p>
      <w:pPr>
        <w:spacing w:line="560" w:lineRule="exact"/>
        <w:ind w:firstLine="590" w:firstLineChars="196"/>
        <w:rPr>
          <w:rFonts w:hint="eastAsia" w:ascii="楷体_GB2312" w:hAnsi="仿宋" w:eastAsia="楷体_GB2312"/>
          <w:b/>
          <w:bCs/>
          <w:color w:val="000000"/>
          <w:sz w:val="30"/>
          <w:szCs w:val="30"/>
        </w:rPr>
      </w:pP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2、</w:t>
      </w:r>
      <w:r>
        <w:rPr>
          <w:rFonts w:hint="eastAsia" w:ascii="楷体_GB2312" w:hAnsi="仿宋" w:eastAsia="楷体_GB2312"/>
          <w:b/>
          <w:sz w:val="30"/>
          <w:szCs w:val="30"/>
        </w:rPr>
        <w:t>专项资金名称：市级全民艺术普及高质量发展建设专项经费</w:t>
      </w:r>
    </w:p>
    <w:p>
      <w:pPr>
        <w:spacing w:line="560" w:lineRule="exact"/>
        <w:ind w:firstLine="551" w:firstLineChars="196"/>
        <w:rPr>
          <w:rFonts w:hint="default" w:ascii="楷体_GB2312" w:eastAsia="楷体_GB2312"/>
          <w:kern w:val="0"/>
          <w:sz w:val="28"/>
          <w:szCs w:val="28"/>
          <w:lang w:val="en-US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设立依据：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根据</w:t>
      </w:r>
      <w:r>
        <w:rPr>
          <w:rFonts w:hint="eastAsia" w:ascii="楷体_GB2312" w:eastAsia="楷体_GB2312"/>
          <w:kern w:val="0"/>
          <w:sz w:val="28"/>
          <w:szCs w:val="28"/>
        </w:rPr>
        <w:t>阳财文（2021）101号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文件，</w:t>
      </w:r>
      <w:r>
        <w:rPr>
          <w:rFonts w:hint="eastAsia" w:ascii="楷体_GB2312" w:eastAsia="楷体_GB2312"/>
          <w:kern w:val="0"/>
          <w:sz w:val="28"/>
          <w:szCs w:val="28"/>
        </w:rPr>
        <w:t>关于提前下达2022年中央支持地方公共文化服务体系建设补助资金预算（公共数字文化）的通知</w:t>
      </w:r>
      <w:r>
        <w:rPr>
          <w:rFonts w:hint="eastAsia" w:ascii="楷体_GB2312" w:eastAsia="楷体_GB2312"/>
          <w:kern w:val="0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我馆制定系列培训计划，高度重视</w:t>
      </w:r>
      <w:r>
        <w:rPr>
          <w:rFonts w:hint="eastAsia" w:ascii="楷体_GB2312" w:eastAsia="楷体_GB2312"/>
          <w:kern w:val="0"/>
          <w:sz w:val="28"/>
          <w:szCs w:val="28"/>
        </w:rPr>
        <w:t>全民艺术普及高质量发展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建设，提升全民艺术知识，发展高质量人才。</w:t>
      </w:r>
    </w:p>
    <w:p>
      <w:pPr>
        <w:spacing w:line="560" w:lineRule="exact"/>
        <w:ind w:firstLine="551" w:firstLineChars="196"/>
        <w:rPr>
          <w:rFonts w:hint="default" w:ascii="楷体_GB2312" w:eastAsia="楷体_GB2312"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管理办法：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依据</w:t>
      </w:r>
      <w:r>
        <w:rPr>
          <w:rFonts w:hint="eastAsia" w:ascii="楷体_GB2312" w:eastAsia="楷体_GB2312"/>
          <w:kern w:val="0"/>
          <w:sz w:val="28"/>
          <w:szCs w:val="28"/>
        </w:rPr>
        <w:t>关于提前下达2022年中央支持地方公共文化服务体系建设补助资金预算（公共数字文化）的通知  阳财文（2021）101号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文件精神，专款专用，深入挖掘高质量人才，提升全民艺术修养。</w:t>
      </w:r>
    </w:p>
    <w:p>
      <w:pPr>
        <w:spacing w:line="560" w:lineRule="exact"/>
        <w:ind w:firstLine="551" w:firstLineChars="196"/>
        <w:rPr>
          <w:rFonts w:hint="default" w:ascii="楷体_GB2312" w:eastAsia="楷体_GB2312"/>
          <w:kern w:val="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预算安排：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在2022年度中，深入开展免费公益培训，培训种类多样化，开办展览，提升艺术修养，为艺术行业挖掘高精尖人才；深入广大市民，提高全民艺术知识，提升全民艺术修养，为艺术行业可持续发展添砖加瓦，为形成全民艺术人才增添力量。</w:t>
      </w:r>
    </w:p>
    <w:p>
      <w:pPr>
        <w:spacing w:line="560" w:lineRule="exact"/>
        <w:ind w:firstLine="590" w:firstLineChars="196"/>
        <w:rPr>
          <w:rFonts w:hint="eastAsia" w:ascii="楷体_GB2312" w:hAnsi="仿宋" w:eastAsia="楷体_GB2312"/>
          <w:b/>
          <w:bCs/>
          <w:color w:val="000000"/>
          <w:sz w:val="30"/>
          <w:szCs w:val="30"/>
        </w:rPr>
      </w:pPr>
      <w:r>
        <w:rPr>
          <w:rFonts w:hint="eastAsia" w:ascii="楷体_GB2312" w:hAnsi="仿宋" w:eastAsia="楷体_GB2312"/>
          <w:b/>
          <w:sz w:val="30"/>
          <w:szCs w:val="30"/>
          <w:lang w:val="en-US" w:eastAsia="zh-CN"/>
        </w:rPr>
        <w:t>3、</w:t>
      </w:r>
      <w:r>
        <w:rPr>
          <w:rFonts w:hint="eastAsia" w:ascii="楷体_GB2312" w:hAnsi="仿宋" w:eastAsia="楷体_GB2312"/>
          <w:b/>
          <w:sz w:val="30"/>
          <w:szCs w:val="30"/>
        </w:rPr>
        <w:t>专项资金名称：文化馆免费开放市级配套资金</w:t>
      </w:r>
    </w:p>
    <w:p>
      <w:pPr>
        <w:spacing w:line="560" w:lineRule="exact"/>
        <w:ind w:firstLine="551" w:firstLineChars="196"/>
        <w:rPr>
          <w:rFonts w:hint="default" w:ascii="楷体_GB2312" w:eastAsia="楷体_GB2312"/>
          <w:kern w:val="0"/>
          <w:sz w:val="28"/>
          <w:szCs w:val="28"/>
          <w:lang w:val="en-US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设立依据：</w:t>
      </w:r>
      <w:r>
        <w:rPr>
          <w:rFonts w:hint="eastAsia" w:ascii="楷体_GB2312" w:eastAsia="楷体_GB2312"/>
          <w:kern w:val="0"/>
          <w:sz w:val="28"/>
          <w:szCs w:val="28"/>
        </w:rPr>
        <w:t>阳泉市财政局下达2022年美术馆、公共图书馆、文化馆免费开放省级补助资金预算，用于保障美术馆、公共图书馆、文化馆免费开放后正常运转并提供基本公共文化服务。</w:t>
      </w:r>
    </w:p>
    <w:p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管理办法：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依据</w:t>
      </w:r>
      <w:r>
        <w:rPr>
          <w:rFonts w:hint="eastAsia" w:ascii="楷体_GB2312" w:eastAsia="楷体_GB2312"/>
          <w:kern w:val="0"/>
          <w:sz w:val="28"/>
          <w:szCs w:val="28"/>
        </w:rPr>
        <w:t>《山西省财政厅关于下达2021年美术馆 公共图书馆  文化馆免费开放省级补助资金预算的通知》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文件，我馆积极</w:t>
      </w:r>
      <w:r>
        <w:rPr>
          <w:rFonts w:hint="eastAsia" w:ascii="楷体_GB2312" w:eastAsia="楷体_GB2312"/>
          <w:kern w:val="0"/>
          <w:sz w:val="28"/>
          <w:szCs w:val="28"/>
        </w:rPr>
        <w:t>组织文艺活动、举办展览、举办训练班、组织公益性讲座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等</w:t>
      </w:r>
      <w:r>
        <w:rPr>
          <w:rFonts w:hint="eastAsia" w:ascii="楷体_GB2312" w:eastAsia="楷体_GB2312"/>
          <w:kern w:val="0"/>
          <w:sz w:val="28"/>
          <w:szCs w:val="28"/>
        </w:rPr>
        <w:t>，丰富群众文化生活。</w:t>
      </w:r>
    </w:p>
    <w:p>
      <w:pPr>
        <w:spacing w:line="560" w:lineRule="exact"/>
        <w:ind w:firstLine="551" w:firstLineChars="196"/>
        <w:rPr>
          <w:rFonts w:hint="eastAsia"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b/>
          <w:kern w:val="0"/>
          <w:sz w:val="28"/>
          <w:szCs w:val="28"/>
        </w:rPr>
        <w:t>预算安排：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我馆预计</w:t>
      </w:r>
      <w:r>
        <w:rPr>
          <w:rFonts w:hint="eastAsia" w:ascii="楷体_GB2312" w:eastAsia="楷体_GB2312"/>
          <w:kern w:val="0"/>
          <w:sz w:val="28"/>
          <w:szCs w:val="28"/>
        </w:rPr>
        <w:t>组织文艺活动4次，观众人次达到3000人；举办展览5个，参观人数达到8000人；举办训练班42个，培训人次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约1000</w:t>
      </w:r>
      <w:r>
        <w:rPr>
          <w:rFonts w:hint="eastAsia" w:ascii="楷体_GB2312" w:eastAsia="楷体_GB2312"/>
          <w:kern w:val="0"/>
          <w:sz w:val="28"/>
          <w:szCs w:val="28"/>
        </w:rPr>
        <w:t>人；组织公益性讲座1次，参加人次100人。</w:t>
      </w:r>
      <w:r>
        <w:rPr>
          <w:rFonts w:hint="eastAsia" w:ascii="楷体_GB2312" w:eastAsia="楷体_GB2312"/>
          <w:kern w:val="0"/>
          <w:sz w:val="28"/>
          <w:szCs w:val="28"/>
          <w:lang w:val="en-US" w:eastAsia="zh-CN"/>
        </w:rPr>
        <w:t>促进我市文化事业发展，丰富我市群众文化生活。</w:t>
      </w:r>
      <w:r>
        <w:rPr>
          <w:rFonts w:hint="eastAsia" w:ascii="楷体_GB2312" w:eastAsia="楷体_GB2312"/>
          <w:kern w:val="0"/>
          <w:sz w:val="28"/>
          <w:szCs w:val="28"/>
        </w:rPr>
        <w:tab/>
      </w:r>
      <w:r>
        <w:rPr>
          <w:rFonts w:hint="eastAsia" w:ascii="楷体_GB2312" w:eastAsia="楷体_GB2312"/>
          <w:kern w:val="0"/>
          <w:sz w:val="28"/>
          <w:szCs w:val="28"/>
        </w:rPr>
        <w:tab/>
      </w:r>
      <w:r>
        <w:rPr>
          <w:rFonts w:hint="eastAsia" w:ascii="楷体_GB2312" w:eastAsia="楷体_GB2312"/>
          <w:kern w:val="0"/>
          <w:sz w:val="28"/>
          <w:szCs w:val="28"/>
        </w:rPr>
        <w:tab/>
      </w:r>
      <w:r>
        <w:rPr>
          <w:rFonts w:hint="eastAsia" w:ascii="楷体_GB2312" w:eastAsia="楷体_GB2312"/>
          <w:b/>
          <w:kern w:val="0"/>
          <w:sz w:val="28"/>
          <w:szCs w:val="28"/>
        </w:rPr>
        <w:tab/>
      </w:r>
      <w:r>
        <w:rPr>
          <w:rFonts w:hint="eastAsia" w:ascii="楷体_GB2312" w:eastAsia="楷体_GB2312"/>
          <w:b/>
          <w:kern w:val="0"/>
          <w:sz w:val="28"/>
          <w:szCs w:val="28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81BCF"/>
    <w:rsid w:val="4A9C7EA1"/>
    <w:rsid w:val="5468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2022-03-15T07:19:00Z</dcterms:created>
  <dc:creator>Lenovo</dc:creator>
  <cp:lastModifiedBy>Lenovo</cp:lastModifiedBy>
  <dcterms:modified xsi:type="dcterms:W3CDTF">2022-03-16T06:28:41Z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D2A7E0DDA35B49DEB796728EE5F99B54</vt:lpwstr>
  </property>
</Properties>
</file>