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CESI小标宋-GB2312" w:hAnsi="CESI小标宋-GB2312" w:eastAsia="CESI小标宋-GB2312" w:cs="CESI小标宋-GB2312"/>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CESI小标宋-GB2312" w:hAnsi="CESI小标宋-GB2312" w:eastAsia="CESI小标宋-GB2312" w:cs="CESI小标宋-GB2312"/>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CESI小标宋-GB2312" w:hAnsi="CESI小标宋-GB2312" w:eastAsia="CESI小标宋-GB2312" w:cs="CESI小标宋-GB2312"/>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CESI小标宋-GB2312" w:hAnsi="CESI小标宋-GB2312" w:eastAsia="CESI小标宋-GB2312" w:cs="CESI小标宋-GB2312"/>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CESI小标宋-GB2312" w:hAnsi="CESI小标宋-GB2312" w:eastAsia="CESI小标宋-GB2312" w:cs="CESI小标宋-GB2312"/>
          <w:b w:val="0"/>
          <w:bCs w:val="0"/>
          <w:sz w:val="44"/>
          <w:szCs w:val="44"/>
          <w:lang w:val="en-US" w:eastAsia="zh-CN"/>
        </w:rPr>
      </w:pPr>
      <w:r>
        <w:rPr>
          <w:rFonts w:hint="eastAsia" w:ascii="CESI小标宋-GB2312" w:hAnsi="CESI小标宋-GB2312" w:eastAsia="CESI小标宋-GB2312" w:cs="CESI小标宋-GB2312"/>
          <w:b w:val="0"/>
          <w:bCs w:val="0"/>
          <w:sz w:val="44"/>
          <w:szCs w:val="44"/>
          <w:lang w:val="en-US" w:eastAsia="zh-CN"/>
        </w:rPr>
        <w:t>关于市政协第十四届三次会议第186号</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CESI小标宋-GB2312" w:hAnsi="CESI小标宋-GB2312" w:eastAsia="CESI小标宋-GB2312" w:cs="CESI小标宋-GB2312"/>
          <w:b w:val="0"/>
          <w:bCs w:val="0"/>
          <w:sz w:val="44"/>
          <w:szCs w:val="44"/>
          <w:lang w:val="en-US" w:eastAsia="zh-CN"/>
        </w:rPr>
      </w:pPr>
      <w:r>
        <w:rPr>
          <w:rFonts w:hint="eastAsia" w:ascii="CESI小标宋-GB2312" w:hAnsi="CESI小标宋-GB2312" w:eastAsia="CESI小标宋-GB2312" w:cs="CESI小标宋-GB2312"/>
          <w:b w:val="0"/>
          <w:bCs w:val="0"/>
          <w:sz w:val="44"/>
          <w:szCs w:val="44"/>
          <w:lang w:val="en-US" w:eastAsia="zh-CN"/>
        </w:rPr>
        <w:t>提案的答复</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尊敬的</w:t>
      </w:r>
      <w:r>
        <w:rPr>
          <w:rFonts w:hint="eastAsia" w:ascii="CESI仿宋-GB2312" w:hAnsi="CESI仿宋-GB2312" w:eastAsia="CESI仿宋-GB2312" w:cs="CESI仿宋-GB2312"/>
          <w:sz w:val="32"/>
          <w:szCs w:val="32"/>
          <w:lang w:eastAsia="zh-CN"/>
        </w:rPr>
        <w:t>张桃贵委员</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29"/>
        <w:jc w:val="both"/>
        <w:textAlignment w:val="auto"/>
        <w:outlineLvl w:val="9"/>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您提出的</w:t>
      </w:r>
      <w:r>
        <w:rPr>
          <w:rFonts w:hint="eastAsia" w:ascii="CESI仿宋-GB2312" w:hAnsi="CESI仿宋-GB2312" w:eastAsia="CESI仿宋-GB2312" w:cs="CESI仿宋-GB2312"/>
          <w:sz w:val="32"/>
          <w:szCs w:val="32"/>
          <w:lang w:eastAsia="zh-CN"/>
        </w:rPr>
        <w:t>《关于建立完善我市红色文化资源名录的建议》已</w:t>
      </w:r>
      <w:r>
        <w:rPr>
          <w:rFonts w:hint="eastAsia" w:ascii="CESI仿宋-GB2312" w:hAnsi="CESI仿宋-GB2312" w:eastAsia="CESI仿宋-GB2312" w:cs="CESI仿宋-GB2312"/>
          <w:sz w:val="32"/>
          <w:szCs w:val="32"/>
        </w:rPr>
        <w:t>收悉，</w:t>
      </w:r>
      <w:r>
        <w:rPr>
          <w:rFonts w:hint="eastAsia" w:ascii="CESI仿宋-GB2312" w:hAnsi="CESI仿宋-GB2312" w:eastAsia="CESI仿宋-GB2312" w:cs="CESI仿宋-GB2312"/>
          <w:sz w:val="32"/>
          <w:szCs w:val="32"/>
          <w:lang w:eastAsia="zh-CN"/>
        </w:rPr>
        <w:t>感谢您对我市红色文化资源保护传承立法及贯彻落实工作的关注和关心。</w:t>
      </w:r>
      <w:r>
        <w:rPr>
          <w:rFonts w:hint="eastAsia" w:ascii="CESI仿宋-GB2312" w:hAnsi="CESI仿宋-GB2312" w:eastAsia="CESI仿宋-GB2312" w:cs="CESI仿宋-GB2312"/>
          <w:sz w:val="32"/>
          <w:szCs w:val="32"/>
        </w:rPr>
        <w:t>经研究，现</w:t>
      </w:r>
      <w:r>
        <w:rPr>
          <w:rFonts w:hint="eastAsia" w:ascii="CESI仿宋-GB2312" w:hAnsi="CESI仿宋-GB2312" w:eastAsia="CESI仿宋-GB2312" w:cs="CESI仿宋-GB2312"/>
          <w:sz w:val="32"/>
          <w:szCs w:val="32"/>
          <w:lang w:eastAsia="zh-CN"/>
        </w:rPr>
        <w:t>就工作开展情况</w:t>
      </w:r>
      <w:r>
        <w:rPr>
          <w:rFonts w:hint="eastAsia" w:ascii="CESI仿宋-GB2312" w:hAnsi="CESI仿宋-GB2312" w:eastAsia="CESI仿宋-GB2312" w:cs="CESI仿宋-GB2312"/>
          <w:sz w:val="32"/>
          <w:szCs w:val="32"/>
        </w:rPr>
        <w:t>答复如下</w:t>
      </w:r>
      <w:r>
        <w:rPr>
          <w:rFonts w:hint="eastAsia" w:ascii="CESI仿宋-GB2312" w:hAnsi="CESI仿宋-GB2312" w:eastAsia="CESI仿宋-GB2312" w:cs="CESI仿宋-GB2312"/>
          <w:sz w:val="32"/>
          <w:szCs w:val="32"/>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left="0" w:firstLine="640" w:firstLineChars="200"/>
        <w:jc w:val="left"/>
        <w:textAlignment w:val="auto"/>
        <w:rPr>
          <w:rFonts w:hint="eastAsia" w:ascii="CESI仿宋-GB13000" w:hAnsi="CESI仿宋-GB13000" w:eastAsia="CESI仿宋-GB13000" w:cs="CESI仿宋-GB13000"/>
          <w:color w:val="auto"/>
          <w:kern w:val="0"/>
          <w:sz w:val="32"/>
          <w:szCs w:val="32"/>
          <w:lang w:val="en-US" w:eastAsia="zh-CN" w:bidi="ar"/>
        </w:rPr>
      </w:pPr>
      <w:r>
        <w:rPr>
          <w:rFonts w:hint="eastAsia" w:ascii="CESI仿宋-GB13000" w:hAnsi="CESI仿宋-GB13000" w:eastAsia="CESI仿宋-GB13000" w:cs="CESI仿宋-GB13000"/>
          <w:color w:val="auto"/>
          <w:kern w:val="0"/>
          <w:sz w:val="32"/>
          <w:szCs w:val="32"/>
          <w:lang w:val="en-US" w:eastAsia="zh-CN" w:bidi="ar"/>
        </w:rPr>
        <w:t>《阳泉市红色文化资源保护传承条例》经市十五届人大常委会第45次会议第二次审议通过、山西省人大第32次会议批准通过，自2022年1月1日起施行。《条例》扩大了保护范围、突出了保护重点、创新了精神传承、强化了刚性约束、设立了纪念日、宣传月，为红色文化资源保护提供了基本遵循，也代表了文物保护法制建设迈出新步伐。</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CESI仿宋-GB13000" w:hAnsi="CESI仿宋-GB13000" w:eastAsia="CESI仿宋-GB13000" w:cs="CESI仿宋-GB13000"/>
          <w:color w:val="auto"/>
          <w:kern w:val="0"/>
          <w:sz w:val="32"/>
          <w:szCs w:val="32"/>
          <w:lang w:val="en-US" w:eastAsia="zh-CN" w:bidi="ar"/>
        </w:rPr>
      </w:pPr>
      <w:r>
        <w:rPr>
          <w:rFonts w:hint="eastAsia" w:ascii="CESI仿宋-GB2312" w:hAnsi="CESI仿宋-GB2312" w:eastAsia="CESI仿宋-GB2312" w:cs="CESI仿宋-GB2312"/>
          <w:color w:val="auto"/>
          <w:sz w:val="32"/>
          <w:szCs w:val="32"/>
        </w:rPr>
        <w:t>2020年12月</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全省红色文化遗址调查认定工作启动，</w:t>
      </w:r>
      <w:r>
        <w:rPr>
          <w:rFonts w:hint="eastAsia" w:ascii="CESI仿宋-GB2312" w:hAnsi="CESI仿宋-GB2312" w:eastAsia="CESI仿宋-GB2312" w:cs="CESI仿宋-GB2312"/>
          <w:color w:val="auto"/>
          <w:sz w:val="32"/>
          <w:szCs w:val="32"/>
          <w:lang w:eastAsia="zh-CN"/>
        </w:rPr>
        <w:t>市文化和旅游局（市文物局）</w:t>
      </w:r>
      <w:r>
        <w:rPr>
          <w:rFonts w:hint="eastAsia" w:ascii="CESI仿宋-GB2312" w:hAnsi="CESI仿宋-GB2312" w:eastAsia="CESI仿宋-GB2312" w:cs="CESI仿宋-GB2312"/>
          <w:color w:val="auto"/>
          <w:sz w:val="32"/>
          <w:szCs w:val="32"/>
        </w:rPr>
        <w:t>联合市退役军人事务局、市委党史研究室制定印发了《阳泉市红色文化遗址调查认定实施方案》，成立了工作指导组，举办全市红色文化遗址调查认定工作培训会议，对具体实施的方法、步骤等进行培训</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通过召开推进会</w:t>
      </w:r>
      <w:r>
        <w:rPr>
          <w:rFonts w:hint="eastAsia" w:ascii="CESI仿宋-GB13000" w:hAnsi="CESI仿宋-GB13000" w:eastAsia="CESI仿宋-GB13000" w:cs="CESI仿宋-GB13000"/>
          <w:color w:val="auto"/>
          <w:kern w:val="0"/>
          <w:sz w:val="32"/>
          <w:szCs w:val="32"/>
          <w:lang w:val="en-US" w:eastAsia="zh-CN" w:bidi="ar"/>
        </w:rPr>
        <w:t>、实地督导，统筹推进全市调查工作，逐级分层推进，全市共摸排169处调查目标，</w:t>
      </w:r>
      <w:r>
        <w:rPr>
          <w:rFonts w:hint="default" w:ascii="CESI仿宋-GB13000" w:hAnsi="CESI仿宋-GB13000" w:eastAsia="CESI仿宋-GB13000" w:cs="CESI仿宋-GB13000"/>
          <w:color w:val="auto"/>
          <w:kern w:val="0"/>
          <w:sz w:val="32"/>
          <w:szCs w:val="32"/>
          <w:lang w:val="en" w:eastAsia="zh-CN" w:bidi="ar"/>
        </w:rPr>
        <w:t>形成调查表57份，</w:t>
      </w:r>
      <w:r>
        <w:rPr>
          <w:rFonts w:hint="eastAsia" w:ascii="CESI仿宋-GB13000" w:hAnsi="CESI仿宋-GB13000" w:eastAsia="CESI仿宋-GB13000" w:cs="CESI仿宋-GB13000"/>
          <w:color w:val="auto"/>
          <w:kern w:val="0"/>
          <w:sz w:val="32"/>
          <w:szCs w:val="32"/>
          <w:lang w:val="en-US" w:eastAsia="zh-CN" w:bidi="ar"/>
        </w:rPr>
        <w:t>经专家</w:t>
      </w:r>
      <w:r>
        <w:rPr>
          <w:rFonts w:hint="default" w:ascii="CESI仿宋-GB13000" w:hAnsi="CESI仿宋-GB13000" w:eastAsia="CESI仿宋-GB13000" w:cs="CESI仿宋-GB13000"/>
          <w:color w:val="auto"/>
          <w:kern w:val="0"/>
          <w:sz w:val="32"/>
          <w:szCs w:val="32"/>
          <w:lang w:val="en" w:eastAsia="zh-CN" w:bidi="ar"/>
        </w:rPr>
        <w:t>和</w:t>
      </w:r>
      <w:r>
        <w:rPr>
          <w:rFonts w:hint="eastAsia" w:ascii="CESI仿宋-GB13000" w:hAnsi="CESI仿宋-GB13000" w:eastAsia="CESI仿宋-GB13000" w:cs="CESI仿宋-GB13000"/>
          <w:color w:val="auto"/>
          <w:kern w:val="0"/>
          <w:sz w:val="32"/>
          <w:szCs w:val="32"/>
          <w:lang w:val="en-US" w:eastAsia="zh-CN" w:bidi="ar"/>
        </w:rPr>
        <w:t>部门会审</w:t>
      </w:r>
      <w:r>
        <w:rPr>
          <w:rFonts w:hint="default" w:ascii="CESI仿宋-GB13000" w:hAnsi="CESI仿宋-GB13000" w:eastAsia="CESI仿宋-GB13000" w:cs="CESI仿宋-GB13000"/>
          <w:color w:val="auto"/>
          <w:kern w:val="0"/>
          <w:sz w:val="32"/>
          <w:szCs w:val="32"/>
          <w:lang w:val="en" w:eastAsia="zh-CN" w:bidi="ar"/>
        </w:rPr>
        <w:t>及省政府同意</w:t>
      </w:r>
      <w:r>
        <w:rPr>
          <w:rFonts w:hint="eastAsia" w:ascii="CESI仿宋-GB13000" w:hAnsi="CESI仿宋-GB13000" w:eastAsia="CESI仿宋-GB13000" w:cs="CESI仿宋-GB13000"/>
          <w:color w:val="auto"/>
          <w:kern w:val="0"/>
          <w:sz w:val="32"/>
          <w:szCs w:val="32"/>
          <w:lang w:val="en-US" w:eastAsia="zh-CN" w:bidi="ar"/>
        </w:rPr>
        <w:t>，2021年11月，我市4处</w:t>
      </w:r>
      <w:r>
        <w:rPr>
          <w:rFonts w:hint="default" w:ascii="CESI仿宋-GB13000" w:hAnsi="CESI仿宋-GB13000" w:eastAsia="CESI仿宋-GB13000" w:cs="CESI仿宋-GB13000"/>
          <w:color w:val="auto"/>
          <w:kern w:val="0"/>
          <w:sz w:val="32"/>
          <w:szCs w:val="32"/>
          <w:lang w:val="en" w:eastAsia="zh-CN" w:bidi="ar"/>
        </w:rPr>
        <w:t>遗址（</w:t>
      </w:r>
      <w:r>
        <w:rPr>
          <w:rFonts w:hint="eastAsia" w:ascii="CESI仿宋-GB13000" w:hAnsi="CESI仿宋-GB13000" w:eastAsia="CESI仿宋-GB13000" w:cs="CESI仿宋-GB13000"/>
          <w:color w:val="auto"/>
          <w:kern w:val="0"/>
          <w:sz w:val="32"/>
          <w:szCs w:val="32"/>
          <w:lang w:val="en-US" w:eastAsia="zh-CN" w:bidi="ar"/>
        </w:rPr>
        <w:t>百团大战纪念馆（碑）、百团大战狮脑山战斗遗址、阳泉市革命烈士纪念馆、七亘大捷纪念碑</w:t>
      </w:r>
      <w:r>
        <w:rPr>
          <w:rFonts w:hint="default" w:ascii="CESI仿宋-GB13000" w:hAnsi="CESI仿宋-GB13000" w:eastAsia="CESI仿宋-GB13000" w:cs="CESI仿宋-GB13000"/>
          <w:color w:val="auto"/>
          <w:kern w:val="0"/>
          <w:sz w:val="32"/>
          <w:szCs w:val="32"/>
          <w:lang w:val="en" w:eastAsia="zh-CN" w:bidi="ar"/>
        </w:rPr>
        <w:t>）</w:t>
      </w:r>
      <w:r>
        <w:rPr>
          <w:rFonts w:hint="eastAsia" w:ascii="CESI仿宋-GB13000" w:hAnsi="CESI仿宋-GB13000" w:eastAsia="CESI仿宋-GB13000" w:cs="CESI仿宋-GB13000"/>
          <w:color w:val="auto"/>
          <w:kern w:val="0"/>
          <w:sz w:val="32"/>
          <w:szCs w:val="32"/>
          <w:lang w:val="en-US" w:eastAsia="zh-CN" w:bidi="ar"/>
        </w:rPr>
        <w:t>被省政府公布为第一批省级红色文化遗址。2023年，按照省文物局、省退役厅、省委党史研究院《关于做好第一批市、县级红色文化遗址名录公布工作的通知》（晋文物发[2023]3号）精神，市县两级人民政府分别公布了第一批市级红色文化遗址6处、县级红色文化遗址10处。截至目前，全市红色文化遗址数量达到20处。</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Chars="0" w:right="0" w:rightChars="0" w:firstLine="640" w:firstLineChars="200"/>
        <w:jc w:val="both"/>
        <w:textAlignment w:val="auto"/>
        <w:outlineLvl w:val="9"/>
        <w:rPr>
          <w:rFonts w:hint="eastAsia" w:ascii="华文仿宋" w:hAnsi="华文仿宋" w:eastAsia="华文仿宋" w:cs="华文仿宋"/>
          <w:b w:val="0"/>
          <w:bCs w:val="0"/>
          <w:kern w:val="0"/>
          <w:sz w:val="32"/>
          <w:szCs w:val="32"/>
          <w:lang w:val="en-US" w:eastAsia="zh-CN" w:bidi="ar-SA"/>
        </w:rPr>
      </w:pPr>
      <w:r>
        <w:rPr>
          <w:rFonts w:hint="eastAsia" w:ascii="CESI仿宋-GB2312" w:hAnsi="CESI仿宋-GB2312" w:eastAsia="CESI仿宋-GB2312" w:cs="CESI仿宋-GB2312"/>
          <w:color w:val="auto"/>
          <w:sz w:val="32"/>
          <w:szCs w:val="32"/>
          <w:lang w:eastAsia="zh-CN"/>
        </w:rPr>
        <w:t>同时，市文旅局坚持</w:t>
      </w:r>
      <w:r>
        <w:rPr>
          <w:rFonts w:hint="eastAsia" w:ascii="CESI仿宋-GB2312" w:hAnsi="CESI仿宋-GB2312" w:eastAsia="CESI仿宋-GB2312" w:cs="CESI仿宋-GB2312"/>
          <w:color w:val="auto"/>
          <w:sz w:val="32"/>
          <w:szCs w:val="32"/>
          <w:lang w:val="en-US" w:eastAsia="zh-CN"/>
        </w:rPr>
        <w:t>不断发掘打造红色文化资源，切实发挥好</w:t>
      </w:r>
      <w:r>
        <w:rPr>
          <w:rFonts w:hint="eastAsia" w:ascii="CESI仿宋-GB2312" w:hAnsi="CESI仿宋-GB2312" w:eastAsia="CESI仿宋-GB2312" w:cs="CESI仿宋-GB2312"/>
          <w:color w:val="auto"/>
          <w:sz w:val="32"/>
          <w:szCs w:val="32"/>
        </w:rPr>
        <w:t>红色文化资源活化利用成效</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将红色旅游与研学旅游有机结合，修缮开放中共创建第一城旧址，开发七亘大捷景区、南沟狼峪抗战遗址公园、南庄村抗战地道等一批红色景点和教育基地，吸引越来越多干部群众和外地游客前来追寻初心、接受洗</w:t>
      </w:r>
      <w:r>
        <w:rPr>
          <w:rFonts w:hint="eastAsia" w:ascii="CESI仿宋-GB13000" w:hAnsi="CESI仿宋-GB13000" w:eastAsia="CESI仿宋-GB13000" w:cs="CESI仿宋-GB13000"/>
          <w:color w:val="auto"/>
          <w:kern w:val="0"/>
          <w:sz w:val="32"/>
          <w:szCs w:val="32"/>
          <w:lang w:val="en-US" w:eastAsia="zh-CN" w:bidi="ar"/>
        </w:rPr>
        <w:t>礼。推出“十佳红色旅游线路”，引进专业团队参与精品民宿、乡村艺术空间等旅游开发，促进了文旅新业态、新模式加速发展。创作一批富有特色的红色文艺精品。“中共创建第一城”题材晋剧现代戏《铸城》、广播剧《矿山华佗》荣获省“五</w:t>
      </w:r>
      <w:r>
        <w:rPr>
          <w:rFonts w:hint="eastAsia" w:ascii="CESI仿宋-GB2312" w:hAnsi="CESI仿宋-GB2312" w:eastAsia="CESI仿宋-GB2312" w:cs="CESI仿宋-GB2312"/>
          <w:b w:val="0"/>
          <w:color w:val="auto"/>
          <w:kern w:val="2"/>
          <w:sz w:val="32"/>
          <w:szCs w:val="32"/>
          <w:lang w:val="en-US" w:eastAsia="zh-CN" w:bidi="ar-SA"/>
        </w:rPr>
        <w:t>个一工程”奖，</w:t>
      </w:r>
      <w:r>
        <w:rPr>
          <w:rFonts w:hint="eastAsia" w:ascii="CESI仿宋-GB2312" w:hAnsi="CESI仿宋-GB2312" w:eastAsia="CESI仿宋-GB2312" w:cs="CESI仿宋-GB2312"/>
          <w:color w:val="auto"/>
          <w:sz w:val="32"/>
          <w:szCs w:val="32"/>
        </w:rPr>
        <w:t>展现“山乡人民教师”张瑾瑶崇高品质和精神力量穿越时空、深深教育和影响当代青年接续奋斗的舞剧《那一抹红》</w:t>
      </w:r>
      <w:r>
        <w:rPr>
          <w:rFonts w:hint="eastAsia" w:ascii="CESI仿宋-GB2312" w:hAnsi="CESI仿宋-GB2312" w:eastAsia="CESI仿宋-GB2312" w:cs="CESI仿宋-GB2312"/>
          <w:b w:val="0"/>
          <w:color w:val="auto"/>
          <w:kern w:val="2"/>
          <w:sz w:val="32"/>
          <w:szCs w:val="32"/>
          <w:lang w:val="en" w:eastAsia="zh-CN" w:bidi="ar-SA"/>
        </w:rPr>
        <w:t>、</w:t>
      </w:r>
      <w:r>
        <w:rPr>
          <w:rFonts w:hint="eastAsia" w:ascii="CESI仿宋-GB2312" w:hAnsi="CESI仿宋-GB2312" w:eastAsia="CESI仿宋-GB2312" w:cs="CESI仿宋-GB2312"/>
          <w:color w:val="auto"/>
          <w:sz w:val="32"/>
          <w:szCs w:val="32"/>
        </w:rPr>
        <w:t>以缅怀百团大战光荣历史、推动红色基因代代传承为主题的小戏</w:t>
      </w:r>
      <w:r>
        <w:rPr>
          <w:rFonts w:hint="eastAsia" w:ascii="CESI仿宋-GB2312" w:hAnsi="CESI仿宋-GB2312" w:eastAsia="CESI仿宋-GB2312" w:cs="CESI仿宋-GB2312"/>
          <w:b w:val="0"/>
          <w:color w:val="auto"/>
          <w:kern w:val="2"/>
          <w:sz w:val="32"/>
          <w:szCs w:val="32"/>
          <w:lang w:val="en-US" w:eastAsia="zh-CN" w:bidi="ar-SA"/>
        </w:rPr>
        <w:t>《梦回百团》等“红色印记”系列作品搬上舞台，仅2023年一年，全</w:t>
      </w:r>
      <w:r>
        <w:rPr>
          <w:rFonts w:hint="eastAsia" w:ascii="CESI仿宋-GB2312" w:hAnsi="CESI仿宋-GB2312" w:eastAsia="CESI仿宋-GB2312" w:cs="CESI仿宋-GB2312"/>
          <w:color w:val="auto"/>
          <w:sz w:val="32"/>
          <w:szCs w:val="32"/>
          <w:lang w:val="en-US" w:eastAsia="zh-CN"/>
        </w:rPr>
        <w:t>市创作音乐、舞蹈、书画等文艺新作4300余部（件），红色主题和现实题材创作量质齐增。举办“中共创建第一城”红色文化创意大赛，征集创意方案1049件，并做好大赛成果转化工作，有力促进了“阳泉礼物”品质升级。推进红色文化资源和文物资源活化利用，公布实施《阳泉市文物保护利用总体规划》，制定《阳泉市推动文物事业高质量发展实施方案》，举办“国际博物馆日”“文化和自然遗产日”宣传展示活动，百团大战纪念馆获省教育厅、省文物局命名的“中华优秀传统文化、革命文化、社会主义先进文化专题实践教学基地”，市博物馆举办</w:t>
      </w:r>
      <w:r>
        <w:rPr>
          <w:rFonts w:hint="default" w:ascii="CESI仿宋-GB2312" w:hAnsi="CESI仿宋-GB2312" w:eastAsia="CESI仿宋-GB2312" w:cs="CESI仿宋-GB2312"/>
          <w:color w:val="auto"/>
          <w:sz w:val="32"/>
          <w:szCs w:val="32"/>
          <w:lang w:val="en" w:eastAsia="zh-CN"/>
        </w:rPr>
        <w:t>68</w:t>
      </w:r>
      <w:r>
        <w:rPr>
          <w:rFonts w:hint="eastAsia" w:ascii="CESI仿宋-GB2312" w:hAnsi="CESI仿宋-GB2312" w:eastAsia="CESI仿宋-GB2312" w:cs="CESI仿宋-GB2312"/>
          <w:color w:val="auto"/>
          <w:sz w:val="32"/>
          <w:szCs w:val="32"/>
          <w:lang w:val="en-US" w:eastAsia="zh-CN"/>
        </w:rPr>
        <w:t>个主题、</w:t>
      </w:r>
      <w:r>
        <w:rPr>
          <w:rFonts w:hint="default" w:ascii="CESI仿宋-GB2312" w:hAnsi="CESI仿宋-GB2312" w:eastAsia="CESI仿宋-GB2312" w:cs="CESI仿宋-GB2312"/>
          <w:color w:val="auto"/>
          <w:sz w:val="32"/>
          <w:szCs w:val="32"/>
          <w:lang w:val="en" w:eastAsia="zh-CN"/>
        </w:rPr>
        <w:t>112</w:t>
      </w:r>
      <w:r>
        <w:rPr>
          <w:rFonts w:hint="eastAsia" w:ascii="CESI仿宋-GB2312" w:hAnsi="CESI仿宋-GB2312" w:eastAsia="CESI仿宋-GB2312" w:cs="CESI仿宋-GB2312"/>
          <w:color w:val="auto"/>
          <w:sz w:val="32"/>
          <w:szCs w:val="32"/>
          <w:lang w:val="en-US" w:eastAsia="zh-CN"/>
        </w:rPr>
        <w:t>场社教活动。</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Chars="0" w:right="0" w:rightChars="0" w:firstLine="640" w:firstLineChars="200"/>
        <w:jc w:val="both"/>
        <w:textAlignment w:val="auto"/>
        <w:outlineLvl w:val="9"/>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下一步，市文旅局将进一步做好《条例》的贯彻执行，进一步建立健全红色文化资源名录，同时通过加强红色资源普查研究、塑造红色旅游名片、繁荣红色文化产业，深入挖掘阳泉红色资源的时代价值，努力把红色资源保护利用好、把红色品牌宣传阐释好、把红色基因传承发扬好，奋力谱写全方位推动高质量发展阳泉篇章。</w:t>
      </w:r>
    </w:p>
    <w:p>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left="0" w:firstLine="640" w:firstLineChars="200"/>
        <w:jc w:val="left"/>
        <w:textAlignment w:val="auto"/>
        <w:rPr>
          <w:rFonts w:hint="eastAsia" w:ascii="CESI仿宋-GB2312" w:hAnsi="CESI仿宋-GB2312" w:eastAsia="CESI仿宋-GB2312" w:cs="CESI仿宋-GB2312"/>
          <w:color w:val="auto"/>
          <w:sz w:val="32"/>
          <w:szCs w:val="32"/>
        </w:rPr>
      </w:pPr>
    </w:p>
    <w:p>
      <w:pPr>
        <w:keepNext w:val="0"/>
        <w:keepLines w:val="0"/>
        <w:pageBreakBefore w:val="0"/>
        <w:kinsoku/>
        <w:wordWrap/>
        <w:overflowPunct/>
        <w:topLinePunct w:val="0"/>
        <w:autoSpaceDE/>
        <w:autoSpaceDN/>
        <w:bidi w:val="0"/>
        <w:spacing w:line="560" w:lineRule="exact"/>
        <w:textAlignment w:val="auto"/>
        <w:rPr>
          <w:rFonts w:hint="eastAsia" w:ascii="Calibri" w:hAnsi="Calibri" w:eastAsia="宋体" w:cs="Times New Roman"/>
          <w:kern w:val="2"/>
          <w:sz w:val="21"/>
          <w:szCs w:val="24"/>
          <w:lang w:val="en-US" w:eastAsia="zh-CN" w:bidi="ar-SA"/>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40" w:lineRule="exact"/>
        <w:ind w:left="0" w:firstLine="640" w:firstLineChars="200"/>
        <w:jc w:val="left"/>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负 责 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40" w:lineRule="exact"/>
        <w:ind w:left="0" w:firstLine="640" w:firstLineChars="200"/>
        <w:jc w:val="left"/>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 xml:space="preserve">承 办 人：白佳灵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40" w:lineRule="exact"/>
        <w:ind w:left="0" w:firstLine="640" w:firstLineChars="200"/>
        <w:jc w:val="left"/>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联系电话：2293250</w:t>
      </w:r>
    </w:p>
    <w:p>
      <w:pPr>
        <w:bidi w:val="0"/>
        <w:rPr>
          <w:rFonts w:hint="default" w:ascii="Calibri" w:hAnsi="Calibri" w:eastAsia="宋体" w:cs="Times New Roman"/>
          <w:kern w:val="2"/>
          <w:sz w:val="21"/>
          <w:szCs w:val="24"/>
          <w:lang w:val="en-US" w:eastAsia="zh-CN" w:bidi="ar-SA"/>
        </w:rPr>
      </w:pPr>
    </w:p>
    <w:p>
      <w:pPr>
        <w:pStyle w:val="2"/>
        <w:rPr>
          <w:rFonts w:hint="default"/>
          <w:lang w:val="en-US" w:eastAsia="zh-CN"/>
        </w:rPr>
      </w:pPr>
      <w:bookmarkStart w:id="0" w:name="_GoBack"/>
      <w:bookmarkEnd w:id="0"/>
    </w:p>
    <w:p>
      <w:pPr>
        <w:bidi w:val="0"/>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Chars="0" w:right="0" w:rightChars="0" w:firstLine="420" w:firstLineChars="200"/>
        <w:jc w:val="both"/>
        <w:textAlignment w:val="auto"/>
        <w:outlineLvl w:val="9"/>
        <w:rPr>
          <w:rFonts w:hint="eastAsia" w:ascii="CESI仿宋-GB2312" w:hAnsi="CESI仿宋-GB2312" w:eastAsia="CESI仿宋-GB2312" w:cs="CESI仿宋-GB2312"/>
          <w:color w:val="auto"/>
          <w:sz w:val="32"/>
          <w:szCs w:val="32"/>
          <w:lang w:val="en-US" w:eastAsia="zh-CN"/>
        </w:rPr>
      </w:pPr>
      <w:r>
        <w:rPr>
          <w:rFonts w:hint="eastAsia"/>
          <w:lang w:val="en-US" w:eastAsia="zh-CN"/>
        </w:rPr>
        <w:tab/>
        <w:t xml:space="preserve">                                  </w:t>
      </w:r>
      <w:r>
        <w:rPr>
          <w:rFonts w:hint="eastAsia" w:ascii="CESI仿宋-GB2312" w:hAnsi="CESI仿宋-GB2312" w:eastAsia="CESI仿宋-GB2312" w:cs="CESI仿宋-GB2312"/>
          <w:color w:val="auto"/>
          <w:sz w:val="32"/>
          <w:szCs w:val="32"/>
          <w:lang w:val="en-US" w:eastAsia="zh-CN"/>
        </w:rPr>
        <w:t>阳泉市文化和旅游局</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Chars="0" w:right="0" w:rightChars="0" w:firstLine="4480" w:firstLineChars="1400"/>
        <w:jc w:val="both"/>
        <w:textAlignment w:val="auto"/>
        <w:outlineLvl w:val="9"/>
        <w:rPr>
          <w:rFonts w:hint="default"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ab/>
        <w:t>2024年7月18日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仿宋">
    <w:altName w:val="文泉驿微米黑"/>
    <w:panose1 w:val="02010609060101010101"/>
    <w:charset w:val="00"/>
    <w:family w:val="auto"/>
    <w:pitch w:val="default"/>
    <w:sig w:usb0="00000000" w:usb1="00000000" w:usb2="00000016" w:usb3="00000000" w:csb0="00040001" w:csb1="00000000"/>
  </w:font>
  <w:font w:name="CESI小标宋-GB2312">
    <w:panose1 w:val="02000500000000000000"/>
    <w:charset w:val="86"/>
    <w:family w:val="auto"/>
    <w:pitch w:val="default"/>
    <w:sig w:usb0="800002AF" w:usb1="084F6CF8" w:usb2="00000010" w:usb3="00000000" w:csb0="0004000F" w:csb1="00000000"/>
  </w:font>
  <w:font w:name="CESI仿宋-GB2312">
    <w:panose1 w:val="02000500000000000000"/>
    <w:charset w:val="86"/>
    <w:family w:val="auto"/>
    <w:pitch w:val="default"/>
    <w:sig w:usb0="800002AF" w:usb1="084F6CF8" w:usb2="00000010" w:usb3="00000000" w:csb0="0004000F" w:csb1="00000000"/>
  </w:font>
  <w:font w:name="CESI仿宋-GB13000">
    <w:panose1 w:val="02000500000000000000"/>
    <w:charset w:val="86"/>
    <w:family w:val="auto"/>
    <w:pitch w:val="default"/>
    <w:sig w:usb0="800002BF" w:usb1="18CF7CF8" w:usb2="00000016" w:usb3="00000000" w:csb0="0004000F" w:csb1="00000000"/>
  </w:font>
  <w:font w:name="华文仿宋">
    <w:altName w:val="文泉驿微米黑"/>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BD245C"/>
    <w:rsid w:val="3785151D"/>
    <w:rsid w:val="4CFC9A3C"/>
    <w:rsid w:val="5EBE4376"/>
    <w:rsid w:val="DBBD245C"/>
    <w:rsid w:val="EFEFD182"/>
    <w:rsid w:val="FEC7D04D"/>
    <w:rsid w:val="FF87F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jc w:val="center"/>
      <w:outlineLvl w:val="0"/>
    </w:pPr>
    <w:rPr>
      <w:rFonts w:ascii="Arial" w:hAnsi="Arial" w:eastAsia="宋体" w:cs="Arial"/>
      <w:b/>
      <w:bCs/>
      <w:szCs w:val="32"/>
    </w:rPr>
  </w:style>
  <w:style w:type="paragraph" w:customStyle="1" w:styleId="8">
    <w:name w:val="_Style 1"/>
    <w:qFormat/>
    <w:uiPriority w:val="0"/>
    <w:pPr>
      <w:widowControl w:val="0"/>
      <w:jc w:val="both"/>
    </w:pPr>
    <w:rPr>
      <w:rFonts w:ascii="仿宋" w:hAnsi="仿宋" w:eastAsia="仿宋" w:cs="Times New Roman"/>
      <w:kern w:val="2"/>
      <w:sz w:val="21"/>
      <w:szCs w:val="22"/>
      <w:lang w:val="en-US" w:eastAsia="zh-CN" w:bidi="ar-SA"/>
    </w:rPr>
  </w:style>
  <w:style w:type="paragraph" w:customStyle="1" w:styleId="9">
    <w:name w:val="No Spacing_ad81b47b-6779-4c76-b471-79375858c8cb"/>
    <w:basedOn w:val="1"/>
    <w:qFormat/>
    <w:uiPriority w:val="99"/>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2024-07-05T18:30:00Z</dcterms:created>
  <dc:creator>user</dc:creator>
  <cp:lastModifiedBy>user</cp:lastModifiedBy>
  <cp:lastPrinted>2024-07-18T10:00:34Z</cp:lastPrinted>
  <dcterms:modified xsi:type="dcterms:W3CDTF">2024-07-18T10:02:55Z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