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A6FD6">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44"/>
          <w:highlight w:val="none"/>
          <w:lang w:val="en-US" w:eastAsia="zh-CN"/>
        </w:rPr>
      </w:pPr>
      <w:bookmarkStart w:id="0" w:name="_GoBack"/>
      <w:bookmarkEnd w:id="0"/>
      <w:r>
        <w:rPr>
          <w:rFonts w:hint="eastAsia" w:asciiTheme="majorEastAsia" w:hAnsiTheme="majorEastAsia" w:eastAsiaTheme="majorEastAsia" w:cstheme="majorEastAsia"/>
          <w:b/>
          <w:bCs/>
          <w:sz w:val="44"/>
          <w:szCs w:val="44"/>
          <w:highlight w:val="none"/>
          <w:lang w:val="en" w:eastAsia="zh-CN"/>
        </w:rPr>
        <w:t>阳泉市文化和旅游局</w:t>
      </w:r>
    </w:p>
    <w:p w14:paraId="7A6E932F">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44"/>
          <w:highlight w:val="none"/>
          <w:lang w:val="en-US" w:eastAsia="zh-CN"/>
        </w:rPr>
      </w:pPr>
      <w:r>
        <w:rPr>
          <w:rFonts w:hint="eastAsia" w:asciiTheme="majorEastAsia" w:hAnsiTheme="majorEastAsia" w:eastAsiaTheme="majorEastAsia" w:cstheme="majorEastAsia"/>
          <w:b/>
          <w:bCs/>
          <w:sz w:val="44"/>
          <w:szCs w:val="44"/>
          <w:highlight w:val="none"/>
          <w:lang w:val="en-US" w:eastAsia="zh-CN"/>
        </w:rPr>
        <w:t>2021年度“免费送戏下乡文化惠民演出”</w:t>
      </w:r>
    </w:p>
    <w:p w14:paraId="280F4B7F">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b/>
          <w:bCs/>
          <w:sz w:val="44"/>
          <w:szCs w:val="44"/>
          <w:highlight w:val="none"/>
          <w:lang w:val="en-US" w:eastAsia="zh-CN"/>
        </w:rPr>
      </w:pPr>
      <w:r>
        <w:rPr>
          <w:rFonts w:hint="eastAsia" w:asciiTheme="majorEastAsia" w:hAnsiTheme="majorEastAsia" w:eastAsiaTheme="majorEastAsia" w:cstheme="majorEastAsia"/>
          <w:b/>
          <w:bCs/>
          <w:sz w:val="44"/>
          <w:szCs w:val="44"/>
          <w:highlight w:val="none"/>
          <w:lang w:val="en-US" w:eastAsia="zh-CN"/>
        </w:rPr>
        <w:t>项目绩效评价报告</w:t>
      </w:r>
    </w:p>
    <w:p w14:paraId="15D27716">
      <w:pPr>
        <w:keepNext w:val="0"/>
        <w:keepLines w:val="0"/>
        <w:pageBreakBefore w:val="0"/>
        <w:kinsoku/>
        <w:wordWrap/>
        <w:overflowPunct/>
        <w:topLinePunct w:val="0"/>
        <w:autoSpaceDE/>
        <w:autoSpaceDN/>
        <w:bidi w:val="0"/>
        <w:adjustRightInd/>
        <w:snapToGrid/>
        <w:spacing w:line="600" w:lineRule="exact"/>
        <w:textAlignment w:val="auto"/>
        <w:rPr>
          <w:rFonts w:hint="eastAsia" w:ascii="CESI仿宋-GB2312" w:hAnsi="CESI仿宋-GB2312" w:eastAsia="CESI仿宋-GB2312" w:cs="CESI仿宋-GB2312"/>
          <w:sz w:val="32"/>
          <w:szCs w:val="32"/>
          <w:highlight w:val="none"/>
        </w:rPr>
      </w:pPr>
    </w:p>
    <w:p w14:paraId="61B0276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rPr>
        <w:t>为加强</w:t>
      </w:r>
      <w:r>
        <w:rPr>
          <w:rFonts w:hint="eastAsia" w:ascii="CESI仿宋-GB2312" w:hAnsi="CESI仿宋-GB2312" w:eastAsia="CESI仿宋-GB2312" w:cs="CESI仿宋-GB2312"/>
          <w:sz w:val="32"/>
          <w:szCs w:val="32"/>
          <w:highlight w:val="none"/>
          <w:lang w:eastAsia="zh-CN"/>
        </w:rPr>
        <w:t>阳泉市免费送戏下乡</w:t>
      </w:r>
      <w:r>
        <w:rPr>
          <w:rFonts w:hint="eastAsia" w:ascii="CESI仿宋-GB2312" w:hAnsi="CESI仿宋-GB2312" w:eastAsia="CESI仿宋-GB2312" w:cs="CESI仿宋-GB2312"/>
          <w:sz w:val="32"/>
          <w:szCs w:val="32"/>
          <w:highlight w:val="none"/>
        </w:rPr>
        <w:t>工作</w:t>
      </w:r>
      <w:r>
        <w:rPr>
          <w:rFonts w:hint="eastAsia" w:ascii="CESI仿宋-GB2312" w:hAnsi="CESI仿宋-GB2312" w:eastAsia="CESI仿宋-GB2312" w:cs="CESI仿宋-GB2312"/>
          <w:sz w:val="32"/>
          <w:szCs w:val="32"/>
          <w:highlight w:val="none"/>
          <w:lang w:eastAsia="zh-CN"/>
        </w:rPr>
        <w:t>的</w:t>
      </w:r>
      <w:r>
        <w:rPr>
          <w:rFonts w:hint="eastAsia" w:ascii="CESI仿宋-GB2312" w:hAnsi="CESI仿宋-GB2312" w:eastAsia="CESI仿宋-GB2312" w:cs="CESI仿宋-GB2312"/>
          <w:sz w:val="32"/>
          <w:szCs w:val="32"/>
          <w:highlight w:val="none"/>
        </w:rPr>
        <w:t>科学化</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制度化</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规范化和标准化管理，提高开放资金使用效益，促进开放工作</w:t>
      </w:r>
      <w:r>
        <w:rPr>
          <w:rFonts w:hint="eastAsia" w:ascii="CESI仿宋-GB2312" w:hAnsi="CESI仿宋-GB2312" w:eastAsia="CESI仿宋-GB2312" w:cs="CESI仿宋-GB2312"/>
          <w:sz w:val="32"/>
          <w:szCs w:val="32"/>
          <w:highlight w:val="none"/>
          <w:lang w:eastAsia="zh-CN"/>
        </w:rPr>
        <w:t>的</w:t>
      </w:r>
      <w:r>
        <w:rPr>
          <w:rFonts w:hint="eastAsia" w:ascii="CESI仿宋-GB2312" w:hAnsi="CESI仿宋-GB2312" w:eastAsia="CESI仿宋-GB2312" w:cs="CESI仿宋-GB2312"/>
          <w:sz w:val="32"/>
          <w:szCs w:val="32"/>
          <w:highlight w:val="none"/>
        </w:rPr>
        <w:t>深入可持续发展，根据</w:t>
      </w:r>
      <w:r>
        <w:rPr>
          <w:rFonts w:hint="eastAsia" w:ascii="CESI仿宋-GB2312" w:hAnsi="CESI仿宋-GB2312" w:eastAsia="CESI仿宋-GB2312" w:cs="CESI仿宋-GB2312"/>
          <w:sz w:val="32"/>
          <w:szCs w:val="32"/>
          <w:highlight w:val="none"/>
          <w:lang w:eastAsia="zh-CN"/>
        </w:rPr>
        <w:t>山西省文化和旅游</w:t>
      </w:r>
      <w:r>
        <w:rPr>
          <w:rFonts w:hint="eastAsia" w:ascii="CESI仿宋-GB2312" w:hAnsi="CESI仿宋-GB2312" w:eastAsia="CESI仿宋-GB2312" w:cs="CESI仿宋-GB2312"/>
          <w:sz w:val="32"/>
          <w:szCs w:val="32"/>
          <w:highlight w:val="none"/>
          <w:lang w:val="en-US" w:eastAsia="zh-CN"/>
        </w:rPr>
        <w:t>厅 财政厅《</w:t>
      </w:r>
      <w:r>
        <w:rPr>
          <w:rFonts w:hint="eastAsia" w:ascii="CESI仿宋-GB2312" w:hAnsi="CESI仿宋-GB2312" w:eastAsia="CESI仿宋-GB2312" w:cs="CESI仿宋-GB2312"/>
          <w:sz w:val="32"/>
          <w:szCs w:val="32"/>
          <w:highlight w:val="none"/>
        </w:rPr>
        <w:t>关于开展202</w:t>
      </w:r>
      <w:r>
        <w:rPr>
          <w:rFonts w:hint="eastAsia" w:ascii="CESI仿宋-GB2312" w:hAnsi="CESI仿宋-GB2312" w:eastAsia="CESI仿宋-GB2312" w:cs="CESI仿宋-GB2312"/>
          <w:sz w:val="32"/>
          <w:szCs w:val="32"/>
          <w:highlight w:val="none"/>
          <w:lang w:val="en-US" w:eastAsia="zh-CN"/>
        </w:rPr>
        <w:t>1</w:t>
      </w:r>
      <w:r>
        <w:rPr>
          <w:rFonts w:hint="eastAsia" w:ascii="CESI仿宋-GB2312" w:hAnsi="CESI仿宋-GB2312" w:eastAsia="CESI仿宋-GB2312" w:cs="CESI仿宋-GB2312"/>
          <w:sz w:val="32"/>
          <w:szCs w:val="32"/>
          <w:highlight w:val="none"/>
        </w:rPr>
        <w:t>年度绩效考核工作的通知要求</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sz w:val="32"/>
          <w:szCs w:val="32"/>
          <w:highlight w:val="none"/>
        </w:rPr>
        <w:t>，</w:t>
      </w:r>
      <w:r>
        <w:rPr>
          <w:rFonts w:hint="eastAsia" w:ascii="CESI仿宋-GB2312" w:hAnsi="CESI仿宋-GB2312" w:eastAsia="CESI仿宋-GB2312" w:cs="CESI仿宋-GB2312"/>
          <w:sz w:val="32"/>
          <w:szCs w:val="32"/>
          <w:highlight w:val="none"/>
          <w:lang w:eastAsia="zh-CN"/>
        </w:rPr>
        <w:t>我馆</w:t>
      </w:r>
      <w:r>
        <w:rPr>
          <w:rFonts w:hint="eastAsia" w:ascii="CESI仿宋-GB2312" w:hAnsi="CESI仿宋-GB2312" w:eastAsia="CESI仿宋-GB2312" w:cs="CESI仿宋-GB2312"/>
          <w:sz w:val="32"/>
          <w:szCs w:val="32"/>
          <w:highlight w:val="none"/>
        </w:rPr>
        <w:t>高度重视，本着客观</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准确</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公平</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公正的原则，认真细致地组织开展</w:t>
      </w:r>
      <w:r>
        <w:rPr>
          <w:rFonts w:hint="eastAsia" w:ascii="CESI仿宋-GB2312" w:hAnsi="CESI仿宋-GB2312" w:eastAsia="CESI仿宋-GB2312" w:cs="CESI仿宋-GB2312"/>
          <w:sz w:val="32"/>
          <w:szCs w:val="32"/>
          <w:highlight w:val="none"/>
          <w:lang w:val="en-US" w:eastAsia="zh-CN"/>
        </w:rPr>
        <w:t>2021</w:t>
      </w:r>
      <w:r>
        <w:rPr>
          <w:rFonts w:hint="eastAsia" w:ascii="CESI仿宋-GB2312" w:hAnsi="CESI仿宋-GB2312" w:eastAsia="CESI仿宋-GB2312" w:cs="CESI仿宋-GB2312"/>
          <w:sz w:val="32"/>
          <w:szCs w:val="32"/>
          <w:highlight w:val="none"/>
        </w:rPr>
        <w:t>年度绩效考核工作，现将自评情况报告如下:</w:t>
      </w:r>
    </w:p>
    <w:p w14:paraId="279CB79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eastAsia="zh-CN"/>
        </w:rPr>
      </w:pPr>
      <w:r>
        <w:rPr>
          <w:rFonts w:hint="eastAsia" w:ascii="CESI黑体-GB2312" w:hAnsi="CESI黑体-GB2312" w:eastAsia="CESI黑体-GB2312" w:cs="CESI黑体-GB2312"/>
          <w:sz w:val="32"/>
          <w:szCs w:val="32"/>
          <w:highlight w:val="none"/>
          <w:lang w:eastAsia="zh-CN"/>
        </w:rPr>
        <w:t>一</w:t>
      </w:r>
      <w:r>
        <w:rPr>
          <w:rFonts w:hint="eastAsia" w:ascii="CESI黑体-GB2312" w:hAnsi="CESI黑体-GB2312" w:eastAsia="CESI黑体-GB2312" w:cs="CESI黑体-GB2312"/>
          <w:sz w:val="32"/>
          <w:szCs w:val="32"/>
          <w:highlight w:val="none"/>
          <w:lang w:val="en-US" w:eastAsia="zh-CN"/>
        </w:rPr>
        <w:t xml:space="preserve"> 、</w:t>
      </w:r>
      <w:r>
        <w:rPr>
          <w:rFonts w:hint="eastAsia" w:ascii="CESI黑体-GB2312" w:hAnsi="CESI黑体-GB2312" w:eastAsia="CESI黑体-GB2312" w:cs="CESI黑体-GB2312"/>
          <w:sz w:val="32"/>
          <w:szCs w:val="32"/>
          <w:highlight w:val="none"/>
          <w:lang w:eastAsia="zh-CN"/>
        </w:rPr>
        <w:t>基本情况</w:t>
      </w:r>
    </w:p>
    <w:p w14:paraId="30BBD8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（一）项目背景。</w:t>
      </w:r>
    </w:p>
    <w:p w14:paraId="2F3475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sz w:val="32"/>
          <w:szCs w:val="32"/>
          <w:lang w:val="en-US" w:eastAsia="zh-CN"/>
        </w:rPr>
        <w:t>“免费送戏下乡”文化惠民演出是</w:t>
      </w:r>
      <w:r>
        <w:rPr>
          <w:rFonts w:hint="eastAsia" w:ascii="仿宋" w:hAnsi="仿宋" w:eastAsia="仿宋" w:cs="仿宋"/>
          <w:i w:val="0"/>
          <w:caps w:val="0"/>
          <w:color w:val="000000"/>
          <w:spacing w:val="0"/>
          <w:sz w:val="32"/>
          <w:szCs w:val="32"/>
          <w:shd w:val="clear" w:fill="FFFFFF"/>
          <w:lang w:val="en-US" w:eastAsia="zh-CN"/>
        </w:rPr>
        <w:t>省政府2021年的“五个一批”群众文化惠民工程之一，</w:t>
      </w:r>
      <w:r>
        <w:rPr>
          <w:rFonts w:hint="eastAsia" w:ascii="仿宋" w:hAnsi="仿宋" w:eastAsia="仿宋" w:cs="仿宋"/>
          <w:sz w:val="32"/>
          <w:szCs w:val="32"/>
          <w:lang w:val="en-US" w:eastAsia="zh-CN"/>
        </w:rPr>
        <w:t>被列入省政府民生实事，</w:t>
      </w:r>
      <w:r>
        <w:rPr>
          <w:rFonts w:hint="eastAsia" w:ascii="仿宋" w:hAnsi="仿宋" w:eastAsia="仿宋" w:cs="仿宋"/>
          <w:i w:val="0"/>
          <w:caps w:val="0"/>
          <w:color w:val="000000"/>
          <w:spacing w:val="0"/>
          <w:sz w:val="32"/>
          <w:szCs w:val="32"/>
          <w:shd w:val="clear" w:fill="FFFFFF"/>
          <w:lang w:val="en-US" w:eastAsia="zh-CN"/>
        </w:rPr>
        <w:t>体现了省委省政府“以人民为中心”的执政理念和为民情怀。按照全省场次任务分解，我市已连续多年开展免费送戏下乡文化惠民演出并超额完成演出任务，受到人民群众的欢迎和好评。</w:t>
      </w:r>
    </w:p>
    <w:p w14:paraId="0E8154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lang w:val="en-US" w:eastAsia="zh-CN"/>
        </w:rPr>
        <w:t xml:space="preserve">（二）项目执行情况。 </w:t>
      </w:r>
    </w:p>
    <w:p w14:paraId="547498B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lang w:val="en-US" w:eastAsia="zh-CN"/>
        </w:rPr>
        <w:t xml:space="preserve">1.预算执行情况。 </w:t>
      </w:r>
    </w:p>
    <w:p w14:paraId="11824AC6">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sz w:val="32"/>
          <w:szCs w:val="32"/>
          <w:highlight w:val="none"/>
          <w:lang w:val="en-US" w:eastAsia="zh-CN"/>
        </w:rPr>
        <w:t>　“</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”预算 120万元，其中 2020 年度财政拨款 120万元。截至 2021 年 12 月 31 日，“</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 xml:space="preserve">”年度执行总数120万元，执行率 100%。 </w:t>
      </w:r>
    </w:p>
    <w:p w14:paraId="4D66C73D">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color w:val="000000"/>
          <w:kern w:val="0"/>
          <w:sz w:val="32"/>
          <w:szCs w:val="32"/>
          <w:highlight w:val="none"/>
          <w:lang w:val="en-US" w:eastAsia="zh-CN" w:bidi="ar"/>
        </w:rPr>
        <w:t xml:space="preserve">2.项目运转情况。 </w:t>
      </w:r>
    </w:p>
    <w:p w14:paraId="0BF020E0">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高质量完成文化惠民演出150场，宣传党的政策，弘扬传统文化。传输社会正能量，促进我市艺术建设。鼓助和扶持市直院团，全面推进体制机制创新，调动广大文化工作者创作更多反映人民主体地位和现实生活的优质精神文化产品。有效传承和推广优秀传统文化，丰富了广大人民群众的精神文化生活，提高了群众的文化素质，深受广大群众的欢迎和喜爱，充分发挥了财政资金的社会效益。</w:t>
      </w:r>
    </w:p>
    <w:p w14:paraId="483D54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eastAsia="zh-CN"/>
        </w:rPr>
      </w:pPr>
      <w:r>
        <w:rPr>
          <w:rFonts w:hint="eastAsia" w:ascii="CESI黑体-GB2312" w:hAnsi="CESI黑体-GB2312" w:eastAsia="CESI黑体-GB2312" w:cs="CESI黑体-GB2312"/>
          <w:sz w:val="32"/>
          <w:szCs w:val="32"/>
          <w:highlight w:val="none"/>
          <w:lang w:val="en-US" w:eastAsia="zh-CN"/>
        </w:rPr>
        <w:t xml:space="preserve">二、绩效评价工作情况及评价结论 </w:t>
      </w:r>
    </w:p>
    <w:p w14:paraId="78E8E721">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（一）评价范围及目的。</w:t>
      </w:r>
    </w:p>
    <w:p w14:paraId="02C24BC5">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 xml:space="preserve">  </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color w:val="000000"/>
          <w:kern w:val="0"/>
          <w:sz w:val="32"/>
          <w:szCs w:val="32"/>
          <w:highlight w:val="none"/>
          <w:lang w:val="en-US" w:eastAsia="zh-CN" w:bidi="ar"/>
        </w:rPr>
        <w:t>项目资金到位及时性，绩效目标开展活动情况。</w:t>
      </w:r>
    </w:p>
    <w:p w14:paraId="3621EF96">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color w:val="000000"/>
          <w:kern w:val="0"/>
          <w:sz w:val="32"/>
          <w:szCs w:val="32"/>
          <w:highlight w:val="none"/>
          <w:lang w:val="en-US" w:eastAsia="zh-CN" w:bidi="ar"/>
        </w:rPr>
        <w:t>评价指标体系。</w:t>
      </w:r>
    </w:p>
    <w:p w14:paraId="1A645693">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sz w:val="32"/>
          <w:szCs w:val="32"/>
          <w:highlight w:val="none"/>
          <w:lang w:eastAsia="zh-CN"/>
        </w:rPr>
        <w:t>　　文化惠民演出</w:t>
      </w:r>
      <w:r>
        <w:rPr>
          <w:rFonts w:hint="eastAsia" w:ascii="CESI仿宋-GB2312" w:hAnsi="CESI仿宋-GB2312" w:eastAsia="CESI仿宋-GB2312" w:cs="CESI仿宋-GB2312"/>
          <w:sz w:val="32"/>
          <w:szCs w:val="32"/>
          <w:highlight w:val="none"/>
          <w:lang w:val="en-US" w:eastAsia="zh-CN"/>
        </w:rPr>
        <w:t>150</w:t>
      </w:r>
      <w:r>
        <w:rPr>
          <w:rFonts w:hint="eastAsia" w:ascii="CESI仿宋-GB2312" w:hAnsi="CESI仿宋-GB2312" w:eastAsia="CESI仿宋-GB2312" w:cs="CESI仿宋-GB2312"/>
          <w:sz w:val="32"/>
          <w:szCs w:val="32"/>
          <w:highlight w:val="none"/>
          <w:lang w:eastAsia="zh-CN"/>
        </w:rPr>
        <w:t>场，每场演出观众上座率</w:t>
      </w:r>
      <w:r>
        <w:rPr>
          <w:rFonts w:hint="eastAsia" w:ascii="CESI仿宋-GB2312" w:hAnsi="CESI仿宋-GB2312" w:eastAsia="CESI仿宋-GB2312" w:cs="CESI仿宋-GB2312"/>
          <w:sz w:val="32"/>
          <w:szCs w:val="32"/>
          <w:highlight w:val="none"/>
          <w:lang w:val="en-US" w:eastAsia="zh-CN"/>
        </w:rPr>
        <w:t>2/3</w:t>
      </w:r>
      <w:r>
        <w:rPr>
          <w:rFonts w:hint="eastAsia" w:ascii="CESI仿宋-GB2312" w:hAnsi="CESI仿宋-GB2312" w:eastAsia="CESI仿宋-GB2312" w:cs="CESI仿宋-GB2312"/>
          <w:sz w:val="32"/>
          <w:szCs w:val="32"/>
          <w:highlight w:val="none"/>
          <w:lang w:eastAsia="zh-CN"/>
        </w:rPr>
        <w:t>，文化惠民演出场次</w:t>
      </w:r>
      <w:r>
        <w:rPr>
          <w:rFonts w:hint="eastAsia" w:ascii="CESI仿宋-GB2312" w:hAnsi="CESI仿宋-GB2312" w:eastAsia="CESI仿宋-GB2312" w:cs="CESI仿宋-GB2312"/>
          <w:sz w:val="32"/>
          <w:szCs w:val="32"/>
          <w:highlight w:val="none"/>
          <w:lang w:val="en-US" w:eastAsia="zh-CN"/>
        </w:rPr>
        <w:t>150场，每场剧目演出时间达2小时以上及时宣传党的政策、弘扬优秀文化、传输社会正能量100%。</w:t>
      </w:r>
    </w:p>
    <w:p w14:paraId="01B0D201">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评价方法与实施。</w:t>
      </w:r>
    </w:p>
    <w:p w14:paraId="341967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0" w:firstLine="960" w:firstLineChars="300"/>
        <w:jc w:val="left"/>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color w:val="000000"/>
          <w:kern w:val="0"/>
          <w:sz w:val="32"/>
          <w:szCs w:val="32"/>
          <w:highlight w:val="none"/>
          <w:lang w:val="en-US" w:eastAsia="zh-CN" w:bidi="ar"/>
        </w:rPr>
        <w:t>本次评价采用现场调研形式开展。运用比较评价法（对项目绩效目标与实施效果、预算与实际支出对比）。</w:t>
      </w:r>
    </w:p>
    <w:p w14:paraId="49FACEA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jc w:val="left"/>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（四）评价结论。</w:t>
      </w:r>
    </w:p>
    <w:p w14:paraId="20F87248">
      <w:pPr>
        <w:keepNext w:val="0"/>
        <w:keepLines w:val="0"/>
        <w:pageBreakBefore w:val="0"/>
        <w:kinsoku/>
        <w:wordWrap/>
        <w:overflowPunct/>
        <w:topLinePunct w:val="0"/>
        <w:autoSpaceDE/>
        <w:autoSpaceDN/>
        <w:bidi w:val="0"/>
        <w:adjustRightInd/>
        <w:snapToGrid/>
        <w:spacing w:line="600" w:lineRule="exact"/>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highlight w:val="none"/>
          <w:lang w:val="en-US" w:eastAsia="zh-CN"/>
        </w:rPr>
        <w:t>　　“</w:t>
      </w:r>
      <w:r>
        <w:rPr>
          <w:rFonts w:hint="eastAsia" w:ascii="CESI仿宋-GB2312" w:hAnsi="CESI仿宋-GB2312" w:eastAsia="CESI仿宋-GB2312" w:cs="CESI仿宋-GB2312"/>
          <w:sz w:val="32"/>
          <w:szCs w:val="32"/>
          <w:highlight w:val="none"/>
          <w:lang w:eastAsia="zh-CN"/>
        </w:rPr>
        <w:t>免费送戏下乡</w:t>
      </w:r>
      <w:r>
        <w:rPr>
          <w:rFonts w:hint="eastAsia" w:ascii="CESI仿宋-GB2312" w:hAnsi="CESI仿宋-GB2312" w:eastAsia="CESI仿宋-GB2312" w:cs="CESI仿宋-GB2312"/>
          <w:sz w:val="32"/>
          <w:szCs w:val="32"/>
          <w:highlight w:val="none"/>
          <w:lang w:val="en-US" w:eastAsia="zh-CN"/>
        </w:rPr>
        <w:t>”</w:t>
      </w:r>
      <w:r>
        <w:rPr>
          <w:rFonts w:hint="eastAsia" w:ascii="CESI仿宋-GB2312" w:hAnsi="CESI仿宋-GB2312" w:eastAsia="CESI仿宋-GB2312" w:cs="CESI仿宋-GB2312"/>
          <w:color w:val="000000"/>
          <w:kern w:val="0"/>
          <w:sz w:val="32"/>
          <w:szCs w:val="32"/>
          <w:highlight w:val="none"/>
          <w:lang w:val="en-US" w:eastAsia="zh-CN" w:bidi="ar"/>
        </w:rPr>
        <w:t>项目综合评价得分95分，评价等级为“优”。</w:t>
      </w:r>
      <w:r>
        <w:rPr>
          <w:rFonts w:hint="eastAsia" w:ascii="CESI仿宋-GB2312" w:hAnsi="CESI仿宋-GB2312" w:eastAsia="CESI仿宋-GB2312" w:cs="CESI仿宋-GB2312"/>
          <w:sz w:val="32"/>
          <w:szCs w:val="32"/>
          <w:lang w:val="en-US" w:eastAsia="zh-CN"/>
        </w:rPr>
        <w:t>我市已连续多年开展免费送戏下乡文化惠民演出并超额完成演出任务，“免费送戏下乡”文化惠民活动开展以来，产生了良好社会效益，赢得了群众口碑，受到人民群众的欢迎和好评。</w:t>
      </w:r>
    </w:p>
    <w:p w14:paraId="301137B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 xml:space="preserve">　　三、绩效评价指标完成情况 </w:t>
      </w:r>
    </w:p>
    <w:p w14:paraId="71FEF1EB">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（一）产出指标分析。该指标分值50分，得分48分。</w:t>
      </w:r>
    </w:p>
    <w:p w14:paraId="23FB29C6">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数量、质量指标基本完成。</w:t>
      </w:r>
    </w:p>
    <w:p w14:paraId="246AE014">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 xml:space="preserve">效益指标分析。该指标分值40分，得分38分。  </w:t>
      </w:r>
    </w:p>
    <w:p w14:paraId="06EE7B3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 xml:space="preserve"> 及时宣传党的政策，弘扬优秀文化，传输社会正能量。        </w:t>
      </w:r>
    </w:p>
    <w:p w14:paraId="3D073154">
      <w:pPr>
        <w:keepNext w:val="0"/>
        <w:keepLines w:val="0"/>
        <w:pageBreakBefore w:val="0"/>
        <w:widowControl/>
        <w:numPr>
          <w:ilvl w:val="0"/>
          <w:numId w:val="2"/>
        </w:numPr>
        <w:suppressLineNumbers w:val="0"/>
        <w:tabs>
          <w:tab w:val="left" w:pos="0"/>
        </w:tabs>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满意度指标分析。该指标分值10分，得分9分。</w:t>
      </w:r>
    </w:p>
    <w:p w14:paraId="444EDFFA">
      <w:pPr>
        <w:keepNext w:val="0"/>
        <w:keepLines w:val="0"/>
        <w:pageBreakBefore w:val="0"/>
        <w:widowControl/>
        <w:numPr>
          <w:ilvl w:val="0"/>
          <w:numId w:val="0"/>
        </w:numPr>
        <w:suppressLineNumbers w:val="0"/>
        <w:tabs>
          <w:tab w:val="left" w:pos="0"/>
        </w:tabs>
        <w:kinsoku/>
        <w:wordWrap/>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kern w:val="0"/>
          <w:sz w:val="32"/>
          <w:szCs w:val="32"/>
          <w:highlight w:val="none"/>
          <w:lang w:val="en-US" w:eastAsia="zh-CN" w:bidi="ar"/>
        </w:rPr>
      </w:pPr>
      <w:r>
        <w:rPr>
          <w:rFonts w:hint="eastAsia" w:ascii="CESI仿宋-GB2312" w:hAnsi="CESI仿宋-GB2312" w:eastAsia="CESI仿宋-GB2312" w:cs="CESI仿宋-GB2312"/>
          <w:color w:val="000000"/>
          <w:kern w:val="0"/>
          <w:sz w:val="32"/>
          <w:szCs w:val="32"/>
          <w:highlight w:val="none"/>
          <w:lang w:val="en-US" w:eastAsia="zh-CN" w:bidi="ar"/>
        </w:rPr>
        <w:t>提升市民满意度。</w:t>
      </w:r>
    </w:p>
    <w:p w14:paraId="7A4D1F4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 xml:space="preserve">四、存在的问题 </w:t>
      </w:r>
    </w:p>
    <w:p w14:paraId="451B1778">
      <w:pPr>
        <w:keepNext w:val="0"/>
        <w:keepLines w:val="0"/>
        <w:pageBreakBefore w:val="0"/>
        <w:kinsoku/>
        <w:wordWrap/>
        <w:overflowPunct/>
        <w:topLinePunct w:val="0"/>
        <w:autoSpaceDE/>
        <w:autoSpaceDN/>
        <w:bidi w:val="0"/>
        <w:adjustRightInd/>
        <w:snapToGrid/>
        <w:spacing w:line="600" w:lineRule="exact"/>
        <w:ind w:firstLine="822" w:firstLineChars="257"/>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1、节目形式创新不足。一出剧目并不是都适合每一个观赏的人，有人爱看文戏、有人爱看武戏、有人爱看歌舞，不一而终，从几年的演出经验看，我们一直在尝试，多接触观众，了解他们的需求，并尽最大可能的满足。下一步继续按照这种思路，走到群众中，了解他们需要什么。</w:t>
      </w:r>
    </w:p>
    <w:p w14:paraId="3CA093FA">
      <w:pPr>
        <w:keepNext w:val="0"/>
        <w:keepLines w:val="0"/>
        <w:pageBreakBefore w:val="0"/>
        <w:kinsoku/>
        <w:wordWrap/>
        <w:overflowPunct/>
        <w:topLinePunct w:val="0"/>
        <w:autoSpaceDE/>
        <w:autoSpaceDN/>
        <w:bidi w:val="0"/>
        <w:adjustRightInd/>
        <w:snapToGrid/>
        <w:spacing w:line="600" w:lineRule="exact"/>
        <w:ind w:firstLine="822" w:firstLineChars="257"/>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2、互动氛围不够浓厚。台上台下缺少互动，一定程度上导致了舞台艺术的呆板和缺乏活力。</w:t>
      </w:r>
    </w:p>
    <w:p w14:paraId="43A9F55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五、工作建议</w:t>
      </w:r>
    </w:p>
    <w:p w14:paraId="39B0AE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shd w:val="clear" w:fill="FFFFFF"/>
        </w:rPr>
        <w:t>1、建议加强政策学习，提高思想认识。组织单位人员认真学习《预算法》等相关法规、制度，提高单位领导对全面预算管理的重视程度，增强财务人员的预算意识，坚持先有预算、后有支出，没有预算不得支出的支出理念。</w:t>
      </w:r>
    </w:p>
    <w:p w14:paraId="214AFA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shd w:val="clear" w:fill="FFFFFF"/>
        </w:rPr>
        <w:t>2、按照预算规定的项目和用途严格财务审计，经费支出严格按预算规定项目的财务支出内容进行财务预算，在预算金额内严格控制费用的支出。</w:t>
      </w:r>
    </w:p>
    <w:p w14:paraId="374885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jc w:val="left"/>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shd w:val="clear" w:fill="FFFFFF"/>
        </w:rPr>
        <w:t>3、预算财务分析常态化，定期做好预算支出财务分析，做好部门整体支出预算评价工作。</w:t>
      </w:r>
    </w:p>
    <w:p w14:paraId="1E1F93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CESI仿宋-GB2312" w:hAnsi="CESI仿宋-GB2312" w:eastAsia="CESI仿宋-GB2312" w:cs="CESI仿宋-GB2312"/>
          <w:i w:val="0"/>
          <w:iCs w:val="0"/>
          <w:caps w:val="0"/>
          <w:color w:val="333333"/>
          <w:spacing w:val="0"/>
          <w:sz w:val="32"/>
          <w:szCs w:val="32"/>
          <w:highlight w:val="none"/>
        </w:rPr>
      </w:pPr>
      <w:r>
        <w:rPr>
          <w:rFonts w:hint="eastAsia" w:ascii="CESI仿宋-GB2312" w:hAnsi="CESI仿宋-GB2312" w:eastAsia="CESI仿宋-GB2312" w:cs="CESI仿宋-GB2312"/>
          <w:i w:val="0"/>
          <w:iCs w:val="0"/>
          <w:caps w:val="0"/>
          <w:color w:val="333333"/>
          <w:spacing w:val="0"/>
          <w:sz w:val="32"/>
          <w:szCs w:val="32"/>
          <w:highlight w:val="none"/>
        </w:rPr>
        <w:t> </w:t>
      </w:r>
    </w:p>
    <w:p w14:paraId="32F983AA">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sz w:val="32"/>
          <w:szCs w:val="32"/>
          <w:highlight w:val="none"/>
          <w:lang w:eastAsia="zh-CN"/>
        </w:rPr>
        <w:t>　阳泉市文化和旅游局　</w:t>
      </w:r>
    </w:p>
    <w:p w14:paraId="523186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r>
        <w:rPr>
          <w:rFonts w:hint="eastAsia" w:ascii="CESI仿宋-GB2312" w:hAnsi="CESI仿宋-GB2312" w:eastAsia="CESI仿宋-GB2312" w:cs="CESI仿宋-GB2312"/>
          <w:sz w:val="32"/>
          <w:szCs w:val="32"/>
          <w:highlight w:val="none"/>
          <w:lang w:val="en-US" w:eastAsia="zh-CN"/>
        </w:rPr>
        <w:t>2022年10月12日</w:t>
      </w:r>
    </w:p>
    <w:p w14:paraId="474A67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BFF07"/>
    <w:multiLevelType w:val="singleLevel"/>
    <w:tmpl w:val="97BBFF07"/>
    <w:lvl w:ilvl="0" w:tentative="0">
      <w:start w:val="2"/>
      <w:numFmt w:val="chineseCounting"/>
      <w:suff w:val="nothing"/>
      <w:lvlText w:val="（%1）"/>
      <w:lvlJc w:val="left"/>
      <w:rPr>
        <w:rFonts w:hint="eastAsia"/>
      </w:rPr>
    </w:lvl>
  </w:abstractNum>
  <w:abstractNum w:abstractNumId="1">
    <w:nsid w:val="77E06FFB"/>
    <w:multiLevelType w:val="singleLevel"/>
    <w:tmpl w:val="77E06FF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zYjJlOTY0NzdmZThmMTI3MTczMDg1YjY0NzUxNmQifQ=="/>
  </w:docVars>
  <w:rsids>
    <w:rsidRoot w:val="5B561D77"/>
    <w:rsid w:val="005A7208"/>
    <w:rsid w:val="015B6D94"/>
    <w:rsid w:val="036C34DA"/>
    <w:rsid w:val="05B14B3C"/>
    <w:rsid w:val="06BC5E4F"/>
    <w:rsid w:val="07155C37"/>
    <w:rsid w:val="13C407C9"/>
    <w:rsid w:val="13EE5846"/>
    <w:rsid w:val="14060DE1"/>
    <w:rsid w:val="156264EB"/>
    <w:rsid w:val="17FEB4B4"/>
    <w:rsid w:val="19E020D4"/>
    <w:rsid w:val="1D9A07EC"/>
    <w:rsid w:val="1DFDB338"/>
    <w:rsid w:val="1EDCE83B"/>
    <w:rsid w:val="1F4D3FD5"/>
    <w:rsid w:val="1F764D61"/>
    <w:rsid w:val="1FAAA390"/>
    <w:rsid w:val="23700025"/>
    <w:rsid w:val="23720241"/>
    <w:rsid w:val="23D36806"/>
    <w:rsid w:val="241F37F9"/>
    <w:rsid w:val="262837CD"/>
    <w:rsid w:val="263C0693"/>
    <w:rsid w:val="27A72010"/>
    <w:rsid w:val="29622B06"/>
    <w:rsid w:val="2A04596B"/>
    <w:rsid w:val="2A7C3754"/>
    <w:rsid w:val="2C286276"/>
    <w:rsid w:val="2C4E6602"/>
    <w:rsid w:val="2D856DC3"/>
    <w:rsid w:val="31DFB53C"/>
    <w:rsid w:val="343D5332"/>
    <w:rsid w:val="36DBF26A"/>
    <w:rsid w:val="372B09DB"/>
    <w:rsid w:val="38311622"/>
    <w:rsid w:val="38C20ECB"/>
    <w:rsid w:val="39671A73"/>
    <w:rsid w:val="39F9B5F2"/>
    <w:rsid w:val="3A6A35C8"/>
    <w:rsid w:val="3B7FC008"/>
    <w:rsid w:val="3BA448B8"/>
    <w:rsid w:val="3BE9676F"/>
    <w:rsid w:val="3CD25455"/>
    <w:rsid w:val="3D033860"/>
    <w:rsid w:val="3D3659E4"/>
    <w:rsid w:val="3D436353"/>
    <w:rsid w:val="3E7C2713"/>
    <w:rsid w:val="3FBD063E"/>
    <w:rsid w:val="3FEE6A4A"/>
    <w:rsid w:val="450E4E58"/>
    <w:rsid w:val="45FDEDA4"/>
    <w:rsid w:val="46E22739"/>
    <w:rsid w:val="4C213D03"/>
    <w:rsid w:val="4E0D0A77"/>
    <w:rsid w:val="4E4C2783"/>
    <w:rsid w:val="4ED31658"/>
    <w:rsid w:val="4FEB6B02"/>
    <w:rsid w:val="511300BE"/>
    <w:rsid w:val="547F3CBD"/>
    <w:rsid w:val="54BA6AA3"/>
    <w:rsid w:val="56FD2831"/>
    <w:rsid w:val="56FF8EC4"/>
    <w:rsid w:val="57EC78BB"/>
    <w:rsid w:val="5B561D77"/>
    <w:rsid w:val="5CC04E72"/>
    <w:rsid w:val="5DDBDD83"/>
    <w:rsid w:val="5EB56C59"/>
    <w:rsid w:val="629D0130"/>
    <w:rsid w:val="62D82F16"/>
    <w:rsid w:val="62E018F9"/>
    <w:rsid w:val="62F842A9"/>
    <w:rsid w:val="64591E34"/>
    <w:rsid w:val="663A1628"/>
    <w:rsid w:val="68664B20"/>
    <w:rsid w:val="6BE74290"/>
    <w:rsid w:val="6C9E6F7E"/>
    <w:rsid w:val="6D11713F"/>
    <w:rsid w:val="6D3E606B"/>
    <w:rsid w:val="6EA463A2"/>
    <w:rsid w:val="75D03F20"/>
    <w:rsid w:val="76ECE2DC"/>
    <w:rsid w:val="777BD2F4"/>
    <w:rsid w:val="77AF77EA"/>
    <w:rsid w:val="77FF7E04"/>
    <w:rsid w:val="789E20B4"/>
    <w:rsid w:val="79DA7170"/>
    <w:rsid w:val="7BEBCF80"/>
    <w:rsid w:val="7BEFFFFE"/>
    <w:rsid w:val="7BFB09D0"/>
    <w:rsid w:val="7BFF9A7A"/>
    <w:rsid w:val="7C1F175E"/>
    <w:rsid w:val="7C7F05AF"/>
    <w:rsid w:val="7C9778EF"/>
    <w:rsid w:val="7D142945"/>
    <w:rsid w:val="7DBD7960"/>
    <w:rsid w:val="7DEEE9B5"/>
    <w:rsid w:val="7DFFF0E0"/>
    <w:rsid w:val="7EB59AB9"/>
    <w:rsid w:val="7FAA57E2"/>
    <w:rsid w:val="7FAC3308"/>
    <w:rsid w:val="7FBA026B"/>
    <w:rsid w:val="7FBFC819"/>
    <w:rsid w:val="7FC7A396"/>
    <w:rsid w:val="7FFDF304"/>
    <w:rsid w:val="8A766F5C"/>
    <w:rsid w:val="8F7B2A43"/>
    <w:rsid w:val="8FFF5622"/>
    <w:rsid w:val="97FBEFC7"/>
    <w:rsid w:val="A7F13C41"/>
    <w:rsid w:val="ADF2CD39"/>
    <w:rsid w:val="AFDF794D"/>
    <w:rsid w:val="B3BF3C4B"/>
    <w:rsid w:val="B753EE56"/>
    <w:rsid w:val="BDBBE709"/>
    <w:rsid w:val="BDE7AA9E"/>
    <w:rsid w:val="BFB97284"/>
    <w:rsid w:val="BFDD9B2C"/>
    <w:rsid w:val="D3DFCCB4"/>
    <w:rsid w:val="D77F905A"/>
    <w:rsid w:val="D77FD068"/>
    <w:rsid w:val="DABDDEE9"/>
    <w:rsid w:val="DEDDB12C"/>
    <w:rsid w:val="E37E1AA9"/>
    <w:rsid w:val="EBFE27ED"/>
    <w:rsid w:val="EBFFDE43"/>
    <w:rsid w:val="F5C93871"/>
    <w:rsid w:val="F6CB2A53"/>
    <w:rsid w:val="FCB69B3A"/>
    <w:rsid w:val="FDF4BDDE"/>
    <w:rsid w:val="FF7D838C"/>
    <w:rsid w:val="FF8F850C"/>
    <w:rsid w:val="FFB9762C"/>
    <w:rsid w:val="FFBF15EF"/>
    <w:rsid w:val="FFD31C11"/>
    <w:rsid w:val="FFFF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1404</Words>
  <Characters>1457</Characters>
  <Lines>0</Lines>
  <Paragraphs>0</Paragraphs>
  <TotalTime>17</TotalTime>
  <ScaleCrop>false</ScaleCrop>
  <LinksUpToDate>false</LinksUpToDate>
  <CharactersWithSpaces>1517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2021-09-02T10:40:00Z</dcterms:created>
  <dc:creator>Administrator</dc:creator>
  <cp:lastModifiedBy>冯</cp:lastModifiedBy>
  <cp:lastPrinted>2021-09-16T06:14:00Z</cp:lastPrinted>
  <dcterms:modified xsi:type="dcterms:W3CDTF">2025-03-29T03:20:13Z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2DE2DD3EAA1F49E1A5896ED67E588C6A_13</vt:lpwstr>
  </property>
  <property fmtid="{D5CDD505-2E9C-101B-9397-08002B2CF9AE}" pid="4" name="KSOTemplateDocerSaveRecord">
    <vt:lpwstr>eyJoZGlkIjoiY2ZmN2ViYzkyNjE1NTZiYTQyYTg4ZjcyODgzNGI4MDciLCJ1c2VySWQiOiIyODA3NTcyNTQifQ==</vt:lpwstr>
  </property>
</Properties>
</file>