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阳泉市文化馆（阳泉美术院）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2021年度</w:t>
      </w:r>
    </w:p>
    <w:p>
      <w:pPr>
        <w:jc w:val="center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“三馆”免费开放配套资金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为了深入贯彻落实 《阳泉市财政局关于提前下达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2021年美术馆 公共图书馆 文化馆（站）免费开放中央补助资金的通知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》（阳财文〔20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〕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114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号）、《阳泉市财政局关于提前下达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2021年美术馆 公共图书馆 文化馆（站）免费开放省级补助资金预算的通知 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》(阳财文〔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2021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〕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73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号）、《阳泉市财政局关于下达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2021年美术馆 公共图书馆 文化馆（站）免费开放市级配套经费的通知 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》(阳财文〔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2021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〕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36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号）文件中关于 “免费开放资金”的要求，我单位收到财政下达资金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110万元，用于举办各种文化活动、艺术创作等。为社会爱好者搭建了广泛交流的平台，丰富了山城人民的文化生活，提升阳泉对外形象，丰富群众文化生活。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我馆加强财政支出管理，强化支出责任，提高财政资金使用效益。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绩效目标完成情况分析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br w:type="textWrapping"/>
      </w: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 xml:space="preserve">   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(一)资金投入情况分析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我馆收到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2021年度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“免费开放资金”共计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110万元，其中下达免费开放中央补助资金60万、免费开放省级补助资金10万元、免费开放市级配套经费40万元，我馆严格落实财政制度，加强资金管理，确保将资金与项目落到实处。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(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二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)总体绩效目标完成情况分析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我馆在下达资金后用于举办各类专业展览、举办公益培训，开放艺术科目、开展免费培训、促进全市曲艺的传承发展、开展各类群文活动、组织举办专业讲座、艺术创作。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使用资金75.76万元，共占总资金的68.87%。 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根据年初设定的绩效目标，项目绩效自评得分为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86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 xml:space="preserve"> 分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(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三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)绩效指标完成情况分析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2021年度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举办各类专业展览4次，展出作品近600余件；举办公益培训，开放艺术科目共达15门，全年开展免费培训325次，参训学员2000余人；为促进全市曲艺的传承发展，提升曲艺人才素养和创作能力，举办了“群众大课堂”——曲艺人才培训班，三区两县文化馆及曲艺爱好者50余人参加培训；开展各类群文活动25场，观众达上万余人，同时，为了普及美术教育，组织举办了“美术进校园”6场专业讲座，参加人数达740余人；结合重大节点赛事，积极参加美术专业展览，入选国家级作品3件，入选省级作品33件；创作的两个广播剧先后在山西综合广播播出；拍摄短视频参加“清廉阳泉”大赛；印刷作品集，方便社会爱好者收藏纪念。开展了送文化下乡活动，加强了对外交流，丰富了人民群众的文化生活。根据年初设定的绩效目标，项目绩效自评得分为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86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 xml:space="preserve"> 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偏离绩效目标的原因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疫情形势严峻，我馆在聚集性活动都进行了相应的调整，配合全国、全省、全市疫情工作，非必要不举办聚集性活动，致使许多惠民活动相继取消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阳泉市文化馆（阳泉美术院）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left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 2022年10月12日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76B5B2"/>
    <w:multiLevelType w:val="singleLevel"/>
    <w:tmpl w:val="8F76B5B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lMzE0NGQwMTE5OGJiM2RmZDg4ZTllZjRkNmQwMGUifQ=="/>
  </w:docVars>
  <w:rsids>
    <w:rsidRoot w:val="2DFA107F"/>
    <w:rsid w:val="2DFA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1053</Words>
  <Characters>1126</Characters>
  <Lines>0</Lines>
  <Paragraphs>0</Paragraphs>
  <TotalTime>2</TotalTime>
  <ScaleCrop>false</ScaleCrop>
  <LinksUpToDate>false</LinksUpToDate>
  <CharactersWithSpaces>1149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2022-10-13T02:53:00Z</dcterms:created>
  <dc:creator>SH呀吧啦吗哈</dc:creator>
  <cp:lastModifiedBy>SH呀吧啦吗哈</cp:lastModifiedBy>
  <dcterms:modified xsi:type="dcterms:W3CDTF">2022-10-13T03:20:12Z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EEBED1FF130843B89125740C59A6B4F3</vt:lpwstr>
  </property>
</Properties>
</file>